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A15D0" w14:textId="77777777" w:rsidR="00380981" w:rsidRDefault="00F84032" w:rsidP="0096271C">
      <w:pPr>
        <w:spacing w:after="0" w:line="276" w:lineRule="auto"/>
        <w:jc w:val="center"/>
        <w:rPr>
          <w:rFonts w:ascii="Times New Roman" w:eastAsia="Times New Roman" w:hAnsi="Times New Roman" w:cs="Times New Roman"/>
          <w:b/>
          <w:bCs/>
        </w:rPr>
      </w:pPr>
      <w:r w:rsidRPr="00E936C6">
        <w:rPr>
          <w:rFonts w:ascii="Times New Roman" w:eastAsia="Times New Roman" w:hAnsi="Times New Roman" w:cs="Times New Roman"/>
          <w:b/>
          <w:bCs/>
        </w:rPr>
        <w:t>Spatial-Territorial Aspects of Regional Development Planning:</w:t>
      </w:r>
    </w:p>
    <w:p w14:paraId="59740D85" w14:textId="15D3BF99" w:rsidR="008739EB" w:rsidRPr="00E936C6" w:rsidRDefault="00F84032" w:rsidP="0096271C">
      <w:pPr>
        <w:spacing w:after="0" w:line="276" w:lineRule="auto"/>
        <w:jc w:val="center"/>
        <w:rPr>
          <w:rFonts w:ascii="Times New Roman" w:eastAsia="Times New Roman" w:hAnsi="Times New Roman" w:cs="Times New Roman"/>
          <w:b/>
          <w:bCs/>
        </w:rPr>
      </w:pPr>
      <w:r w:rsidRPr="00E936C6">
        <w:rPr>
          <w:rFonts w:ascii="Times New Roman" w:eastAsia="Times New Roman" w:hAnsi="Times New Roman" w:cs="Times New Roman"/>
          <w:b/>
          <w:bCs/>
        </w:rPr>
        <w:t>The Case of Borjomi Municipality</w:t>
      </w:r>
    </w:p>
    <w:p w14:paraId="75F49177" w14:textId="77777777" w:rsidR="00E31B0C" w:rsidRDefault="00E31B0C" w:rsidP="0096271C">
      <w:pPr>
        <w:spacing w:after="0" w:line="276" w:lineRule="auto"/>
        <w:jc w:val="center"/>
        <w:rPr>
          <w:rFonts w:ascii="Times New Roman" w:eastAsia="Times New Roman" w:hAnsi="Times New Roman" w:cs="Times New Roman"/>
          <w:i/>
          <w:iCs/>
        </w:rPr>
      </w:pPr>
    </w:p>
    <w:p w14:paraId="187127D2" w14:textId="1933DB7D" w:rsidR="00380981" w:rsidRPr="00E31B0C" w:rsidRDefault="00F84032" w:rsidP="0096271C">
      <w:pPr>
        <w:spacing w:after="0" w:line="276" w:lineRule="auto"/>
        <w:jc w:val="center"/>
        <w:rPr>
          <w:rFonts w:ascii="Times New Roman" w:eastAsia="Times New Roman" w:hAnsi="Times New Roman" w:cs="Times New Roman"/>
          <w:b/>
          <w:bCs/>
        </w:rPr>
      </w:pPr>
      <w:r w:rsidRPr="00E31B0C">
        <w:rPr>
          <w:rFonts w:ascii="Times New Roman" w:eastAsia="Times New Roman" w:hAnsi="Times New Roman" w:cs="Times New Roman"/>
          <w:b/>
          <w:bCs/>
        </w:rPr>
        <w:t>Mariam Jibuti</w:t>
      </w:r>
    </w:p>
    <w:p w14:paraId="011B59B1" w14:textId="208931F9" w:rsidR="00380981" w:rsidRPr="00E31B0C" w:rsidRDefault="00F84032" w:rsidP="0096271C">
      <w:pPr>
        <w:spacing w:after="0" w:line="276" w:lineRule="auto"/>
        <w:jc w:val="center"/>
        <w:rPr>
          <w:rFonts w:ascii="Times New Roman" w:eastAsia="Times New Roman" w:hAnsi="Times New Roman" w:cs="Times New Roman"/>
        </w:rPr>
      </w:pPr>
      <w:r w:rsidRPr="00E31B0C">
        <w:rPr>
          <w:rFonts w:ascii="Times New Roman" w:eastAsia="Times New Roman" w:hAnsi="Times New Roman" w:cs="Times New Roman"/>
        </w:rPr>
        <w:t>Ph</w:t>
      </w:r>
      <w:r w:rsidR="00F557A3">
        <w:rPr>
          <w:rFonts w:ascii="Times New Roman" w:eastAsia="Times New Roman" w:hAnsi="Times New Roman" w:cs="Times New Roman"/>
        </w:rPr>
        <w:t>.</w:t>
      </w:r>
      <w:r w:rsidRPr="00E31B0C">
        <w:rPr>
          <w:rFonts w:ascii="Times New Roman" w:eastAsia="Times New Roman" w:hAnsi="Times New Roman" w:cs="Times New Roman"/>
        </w:rPr>
        <w:t>D</w:t>
      </w:r>
      <w:r w:rsidR="00F557A3">
        <w:rPr>
          <w:rFonts w:ascii="Times New Roman" w:eastAsia="Times New Roman" w:hAnsi="Times New Roman" w:cs="Times New Roman"/>
        </w:rPr>
        <w:t>.</w:t>
      </w:r>
      <w:r w:rsidRPr="00E31B0C">
        <w:rPr>
          <w:rFonts w:ascii="Times New Roman" w:eastAsia="Times New Roman" w:hAnsi="Times New Roman" w:cs="Times New Roman"/>
        </w:rPr>
        <w:t xml:space="preserve"> in Economics,</w:t>
      </w:r>
    </w:p>
    <w:p w14:paraId="391E960A" w14:textId="614922C7" w:rsidR="00F84032" w:rsidRPr="00E31B0C" w:rsidRDefault="00F84032" w:rsidP="00F557A3">
      <w:pPr>
        <w:spacing w:after="0" w:line="276" w:lineRule="auto"/>
        <w:jc w:val="center"/>
        <w:rPr>
          <w:rFonts w:ascii="Times New Roman" w:eastAsia="Times New Roman" w:hAnsi="Times New Roman" w:cs="Times New Roman"/>
        </w:rPr>
      </w:pPr>
      <w:r w:rsidRPr="00E31B0C">
        <w:rPr>
          <w:rFonts w:ascii="Times New Roman" w:eastAsia="Times New Roman" w:hAnsi="Times New Roman" w:cs="Times New Roman"/>
        </w:rPr>
        <w:t>Guest Lecturer, Ivane Javakhishvili Tbilisi State University, Georgia</w:t>
      </w:r>
    </w:p>
    <w:p w14:paraId="7F73A115" w14:textId="77777777" w:rsidR="00F557A3" w:rsidRDefault="00F557A3" w:rsidP="0096271C">
      <w:pPr>
        <w:spacing w:after="0" w:line="276" w:lineRule="auto"/>
        <w:jc w:val="center"/>
        <w:rPr>
          <w:rFonts w:ascii="Times New Roman" w:eastAsia="Times New Roman" w:hAnsi="Times New Roman" w:cs="Times New Roman"/>
        </w:rPr>
      </w:pPr>
      <w:hyperlink r:id="rId8" w:history="1">
        <w:r w:rsidRPr="00605B29">
          <w:rPr>
            <w:rStyle w:val="Hyperlink"/>
            <w:rFonts w:ascii="Times New Roman" w:eastAsia="Times New Roman" w:hAnsi="Times New Roman" w:cs="Times New Roman"/>
          </w:rPr>
          <w:t>mariami.jibuti@gmail.com</w:t>
        </w:r>
      </w:hyperlink>
      <w:r>
        <w:rPr>
          <w:rFonts w:ascii="Times New Roman" w:eastAsia="Times New Roman" w:hAnsi="Times New Roman" w:cs="Times New Roman"/>
        </w:rPr>
        <w:t xml:space="preserve"> </w:t>
      </w:r>
    </w:p>
    <w:p w14:paraId="656ED66C" w14:textId="15231F47" w:rsidR="00F84032" w:rsidRPr="00E31B0C" w:rsidRDefault="00F557A3" w:rsidP="0096271C">
      <w:pPr>
        <w:spacing w:after="0" w:line="276" w:lineRule="auto"/>
        <w:jc w:val="center"/>
        <w:rPr>
          <w:rFonts w:ascii="Times New Roman" w:eastAsia="Times New Roman" w:hAnsi="Times New Roman" w:cs="Times New Roman"/>
        </w:rPr>
      </w:pPr>
      <w:hyperlink r:id="rId9" w:history="1">
        <w:r w:rsidRPr="00605B29">
          <w:rPr>
            <w:rStyle w:val="Hyperlink"/>
            <w:rFonts w:ascii="Times New Roman" w:eastAsia="Times New Roman" w:hAnsi="Times New Roman" w:cs="Times New Roman"/>
          </w:rPr>
          <w:t>https://orcid.org/0000-0001-6420-5791</w:t>
        </w:r>
      </w:hyperlink>
      <w:r>
        <w:rPr>
          <w:rFonts w:ascii="Times New Roman" w:eastAsia="Times New Roman" w:hAnsi="Times New Roman" w:cs="Times New Roman"/>
        </w:rPr>
        <w:t xml:space="preserve"> </w:t>
      </w:r>
      <w:r w:rsidR="00F84032" w:rsidRPr="00E31B0C">
        <w:rPr>
          <w:rFonts w:ascii="Times New Roman" w:eastAsia="Times New Roman" w:hAnsi="Times New Roman" w:cs="Times New Roman"/>
        </w:rPr>
        <w:t xml:space="preserve"> </w:t>
      </w:r>
    </w:p>
    <w:p w14:paraId="3C6F35AA" w14:textId="77777777" w:rsidR="00E31B0C" w:rsidRDefault="00E31B0C" w:rsidP="0096271C">
      <w:pPr>
        <w:spacing w:after="0" w:line="276" w:lineRule="auto"/>
        <w:jc w:val="center"/>
        <w:rPr>
          <w:rFonts w:ascii="Times New Roman" w:hAnsi="Times New Roman" w:cs="Times New Roman"/>
        </w:rPr>
      </w:pPr>
    </w:p>
    <w:p w14:paraId="6293E88F" w14:textId="77777777" w:rsidR="00E31B0C" w:rsidRPr="00E936C6" w:rsidRDefault="00E31B0C" w:rsidP="0096271C">
      <w:pPr>
        <w:spacing w:after="0" w:line="276" w:lineRule="auto"/>
        <w:jc w:val="center"/>
        <w:rPr>
          <w:rFonts w:ascii="Times New Roman" w:hAnsi="Times New Roman" w:cs="Times New Roman"/>
        </w:rPr>
      </w:pPr>
    </w:p>
    <w:p w14:paraId="3BBECAF4" w14:textId="2E5A395C" w:rsidR="00DA6036" w:rsidRPr="00E936C6" w:rsidRDefault="00DA6036" w:rsidP="0096271C">
      <w:pPr>
        <w:spacing w:after="0" w:line="276" w:lineRule="auto"/>
        <w:rPr>
          <w:rFonts w:ascii="Times New Roman" w:eastAsia="Times New Roman" w:hAnsi="Times New Roman" w:cs="Times New Roman"/>
          <w:b/>
          <w:bCs/>
        </w:rPr>
      </w:pPr>
      <w:r w:rsidRPr="00E936C6">
        <w:rPr>
          <w:rFonts w:ascii="Times New Roman" w:eastAsia="Times New Roman" w:hAnsi="Times New Roman" w:cs="Times New Roman"/>
          <w:b/>
          <w:bCs/>
        </w:rPr>
        <w:t>Abstract</w:t>
      </w:r>
      <w:r w:rsidRPr="00E936C6">
        <w:rPr>
          <w:rFonts w:ascii="Times New Roman" w:eastAsia="Times New Roman" w:hAnsi="Times New Roman" w:cs="Times New Roman"/>
        </w:rPr>
        <w:t xml:space="preserve"> </w:t>
      </w:r>
    </w:p>
    <w:p w14:paraId="14EB569B" w14:textId="0D0ED64E" w:rsidR="00E31B0C" w:rsidRDefault="001E2D6A" w:rsidP="00061732">
      <w:pPr>
        <w:spacing w:after="0" w:line="276" w:lineRule="auto"/>
        <w:ind w:firstLine="720"/>
        <w:jc w:val="both"/>
        <w:rPr>
          <w:rFonts w:ascii="Times New Roman" w:hAnsi="Times New Roman" w:cs="Times New Roman"/>
          <w:i/>
        </w:rPr>
      </w:pPr>
      <w:r w:rsidRPr="00E936C6">
        <w:rPr>
          <w:rFonts w:ascii="Times New Roman" w:hAnsi="Times New Roman" w:cs="Times New Roman"/>
          <w:i/>
        </w:rPr>
        <w:t>This article analyzes the spatial-territorial structure of Borjomi Municipality through the lens of polycentric regional development, functional specialization, and seasonal economic dynamics. Drawing on qualitative field observations, semi-structured interviews, and the examination of municipal planning documents, the study evaluates how the municipality</w:t>
      </w:r>
      <w:r w:rsidR="0070015C">
        <w:rPr>
          <w:rFonts w:ascii="Times New Roman" w:hAnsi="Times New Roman" w:cs="Times New Roman"/>
          <w:i/>
        </w:rPr>
        <w:t>’</w:t>
      </w:r>
      <w:r w:rsidRPr="00E936C6">
        <w:rPr>
          <w:rFonts w:ascii="Times New Roman" w:hAnsi="Times New Roman" w:cs="Times New Roman"/>
          <w:i/>
        </w:rPr>
        <w:t>s three dominant nodes—Borjomi–Likani, Baku</w:t>
      </w:r>
      <w:bookmarkStart w:id="0" w:name="_GoBack"/>
      <w:bookmarkEnd w:id="0"/>
      <w:r w:rsidRPr="00E936C6">
        <w:rPr>
          <w:rFonts w:ascii="Times New Roman" w:hAnsi="Times New Roman" w:cs="Times New Roman"/>
          <w:i/>
        </w:rPr>
        <w:t>riani, and the seasonal corridor villages—shape local development patterns and influence the distribution of economic activity, mobility flows, and service accessibility. Findings show that tourism-driven functions are heavily concentrated within the two major nodes, while peripheral settlements remain dependent on short seasonal cycles and underdeveloped infrastructure. The research also identifies significant gaps in rural–urban value-chain integration, particularly the limited participation of local agricultural producers in the tourism supply system. These spatial and functional disparities underscore the challenges of achieving balanced and resilient development in mountainous regions. By situating the Borjomi case within broader theoretical discussions on polycentricity and place-based development, the study demonstrates how spatial coordination and targeted policy interventions can enhance territorial cohesion and support sustainable development in structurally diverse municipalities.</w:t>
      </w:r>
    </w:p>
    <w:p w14:paraId="7191DCBD" w14:textId="77777777" w:rsidR="00061732" w:rsidRPr="00061732" w:rsidRDefault="00061732" w:rsidP="00061732">
      <w:pPr>
        <w:spacing w:after="0" w:line="276" w:lineRule="auto"/>
        <w:ind w:firstLine="720"/>
        <w:jc w:val="both"/>
        <w:rPr>
          <w:rFonts w:ascii="Times New Roman" w:hAnsi="Times New Roman" w:cs="Times New Roman"/>
          <w:i/>
        </w:rPr>
      </w:pPr>
    </w:p>
    <w:p w14:paraId="199D2710" w14:textId="4EB73D3B" w:rsidR="00F84032" w:rsidRDefault="00F84032" w:rsidP="0096271C">
      <w:pPr>
        <w:spacing w:after="0" w:line="276" w:lineRule="auto"/>
        <w:ind w:firstLine="720"/>
        <w:jc w:val="both"/>
        <w:rPr>
          <w:rFonts w:ascii="Times New Roman" w:hAnsi="Times New Roman" w:cs="Times New Roman"/>
          <w:bCs/>
          <w:i/>
        </w:rPr>
      </w:pPr>
      <w:r w:rsidRPr="00E936C6">
        <w:rPr>
          <w:rFonts w:ascii="Times New Roman" w:hAnsi="Times New Roman" w:cs="Times New Roman"/>
          <w:bCs/>
          <w:i/>
        </w:rPr>
        <w:t xml:space="preserve">This research was supported by </w:t>
      </w:r>
      <w:r w:rsidR="008E67D1">
        <w:rPr>
          <w:rFonts w:ascii="Times New Roman" w:hAnsi="Times New Roman" w:cs="Times New Roman"/>
          <w:bCs/>
          <w:i/>
        </w:rPr>
        <w:t xml:space="preserve">the </w:t>
      </w:r>
      <w:r w:rsidRPr="00E936C6">
        <w:rPr>
          <w:rFonts w:ascii="Times New Roman" w:hAnsi="Times New Roman" w:cs="Times New Roman"/>
          <w:bCs/>
          <w:i/>
        </w:rPr>
        <w:t>Shota Rustaveli National Science Foundation of Georgia (SRNSFG) [grant number: YS-24-308]</w:t>
      </w:r>
      <w:r w:rsidR="00F64DDD">
        <w:rPr>
          <w:rFonts w:ascii="Times New Roman" w:hAnsi="Times New Roman" w:cs="Times New Roman"/>
          <w:bCs/>
          <w:i/>
        </w:rPr>
        <w:t>.</w:t>
      </w:r>
    </w:p>
    <w:p w14:paraId="3F66A35C" w14:textId="77777777" w:rsidR="00E31B0C" w:rsidRPr="00E936C6" w:rsidRDefault="00E31B0C" w:rsidP="0096271C">
      <w:pPr>
        <w:spacing w:after="0" w:line="276" w:lineRule="auto"/>
        <w:ind w:firstLine="720"/>
        <w:jc w:val="both"/>
        <w:rPr>
          <w:rFonts w:ascii="Times New Roman" w:hAnsi="Times New Roman" w:cs="Times New Roman"/>
          <w:bCs/>
          <w:i/>
          <w:lang w:val="en-GB"/>
        </w:rPr>
      </w:pPr>
    </w:p>
    <w:p w14:paraId="3CF0531C" w14:textId="1146A4C0" w:rsidR="00F84032" w:rsidRPr="00E936C6" w:rsidRDefault="00F84032" w:rsidP="0096271C">
      <w:pPr>
        <w:pStyle w:val="Heading2"/>
        <w:spacing w:before="0"/>
        <w:jc w:val="both"/>
        <w:rPr>
          <w:rFonts w:ascii="Times New Roman" w:eastAsiaTheme="minorEastAsia" w:hAnsi="Times New Roman" w:cs="Times New Roman"/>
          <w:b w:val="0"/>
          <w:bCs w:val="0"/>
          <w:i/>
          <w:color w:val="auto"/>
          <w:sz w:val="22"/>
          <w:szCs w:val="22"/>
        </w:rPr>
      </w:pPr>
      <w:r w:rsidRPr="00E936C6">
        <w:rPr>
          <w:rFonts w:ascii="Times New Roman" w:hAnsi="Times New Roman" w:cs="Times New Roman"/>
          <w:color w:val="000000" w:themeColor="text1"/>
          <w:sz w:val="22"/>
          <w:szCs w:val="22"/>
        </w:rPr>
        <w:t>Keywords:</w:t>
      </w:r>
      <w:r w:rsidRPr="00E936C6">
        <w:rPr>
          <w:rFonts w:ascii="Times New Roman" w:eastAsiaTheme="minorEastAsia" w:hAnsi="Times New Roman" w:cs="Times New Roman"/>
          <w:b w:val="0"/>
          <w:bCs w:val="0"/>
          <w:i/>
          <w:color w:val="auto"/>
          <w:sz w:val="22"/>
          <w:szCs w:val="22"/>
        </w:rPr>
        <w:t xml:space="preserve"> </w:t>
      </w:r>
      <w:r w:rsidR="00E31B0C">
        <w:rPr>
          <w:rFonts w:ascii="Times New Roman" w:eastAsiaTheme="minorEastAsia" w:hAnsi="Times New Roman" w:cs="Times New Roman"/>
          <w:b w:val="0"/>
          <w:bCs w:val="0"/>
          <w:i/>
          <w:color w:val="auto"/>
          <w:sz w:val="22"/>
          <w:szCs w:val="22"/>
        </w:rPr>
        <w:t>R</w:t>
      </w:r>
      <w:r w:rsidRPr="00E936C6">
        <w:rPr>
          <w:rFonts w:ascii="Times New Roman" w:eastAsiaTheme="minorEastAsia" w:hAnsi="Times New Roman" w:cs="Times New Roman"/>
          <w:b w:val="0"/>
          <w:bCs w:val="0"/>
          <w:i/>
          <w:color w:val="auto"/>
          <w:sz w:val="22"/>
          <w:szCs w:val="22"/>
        </w:rPr>
        <w:t>egional development; spatial pla</w:t>
      </w:r>
      <w:r w:rsidR="003E1ACC" w:rsidRPr="00E936C6">
        <w:rPr>
          <w:rFonts w:ascii="Times New Roman" w:eastAsiaTheme="minorEastAsia" w:hAnsi="Times New Roman" w:cs="Times New Roman"/>
          <w:b w:val="0"/>
          <w:bCs w:val="0"/>
          <w:i/>
          <w:color w:val="auto"/>
          <w:sz w:val="22"/>
          <w:szCs w:val="22"/>
        </w:rPr>
        <w:t xml:space="preserve">nning; </w:t>
      </w:r>
      <w:r w:rsidRPr="00E936C6">
        <w:rPr>
          <w:rFonts w:ascii="Times New Roman" w:eastAsiaTheme="minorEastAsia" w:hAnsi="Times New Roman" w:cs="Times New Roman"/>
          <w:b w:val="0"/>
          <w:bCs w:val="0"/>
          <w:i/>
          <w:color w:val="auto"/>
          <w:sz w:val="22"/>
          <w:szCs w:val="22"/>
        </w:rPr>
        <w:t>tourism economy</w:t>
      </w:r>
      <w:r w:rsidR="00E31B0C">
        <w:rPr>
          <w:rFonts w:ascii="Times New Roman" w:eastAsiaTheme="minorEastAsia" w:hAnsi="Times New Roman" w:cs="Times New Roman"/>
          <w:b w:val="0"/>
          <w:bCs w:val="0"/>
          <w:i/>
          <w:color w:val="auto"/>
          <w:sz w:val="22"/>
          <w:szCs w:val="22"/>
        </w:rPr>
        <w:t>.</w:t>
      </w:r>
    </w:p>
    <w:p w14:paraId="24CC8B9D" w14:textId="77777777" w:rsidR="00E31B0C" w:rsidRDefault="00E31B0C" w:rsidP="0096271C">
      <w:pPr>
        <w:spacing w:after="0" w:line="276" w:lineRule="auto"/>
        <w:rPr>
          <w:rFonts w:ascii="Times New Roman" w:eastAsia="Times New Roman" w:hAnsi="Times New Roman" w:cs="Times New Roman"/>
          <w:b/>
          <w:bCs/>
        </w:rPr>
      </w:pPr>
    </w:p>
    <w:p w14:paraId="783024DE" w14:textId="236640B1" w:rsidR="00DA6036" w:rsidRPr="00E936C6" w:rsidRDefault="00DA6036" w:rsidP="0096271C">
      <w:pPr>
        <w:spacing w:after="0" w:line="276" w:lineRule="auto"/>
        <w:rPr>
          <w:rFonts w:ascii="Times New Roman" w:eastAsia="Times New Roman" w:hAnsi="Times New Roman" w:cs="Times New Roman"/>
        </w:rPr>
      </w:pPr>
      <w:r w:rsidRPr="00E936C6">
        <w:rPr>
          <w:rFonts w:ascii="Times New Roman" w:eastAsia="Times New Roman" w:hAnsi="Times New Roman" w:cs="Times New Roman"/>
          <w:b/>
          <w:bCs/>
        </w:rPr>
        <w:t>Introduction</w:t>
      </w:r>
      <w:r w:rsidRPr="00E936C6">
        <w:rPr>
          <w:rFonts w:ascii="Times New Roman" w:eastAsia="Times New Roman" w:hAnsi="Times New Roman" w:cs="Times New Roman"/>
        </w:rPr>
        <w:t xml:space="preserve"> </w:t>
      </w:r>
    </w:p>
    <w:p w14:paraId="4E15507D" w14:textId="62C42B21" w:rsidR="00407023" w:rsidRPr="00E936C6" w:rsidRDefault="00407023"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t>Efficient regional development planning in mountainous countries requires a clear understanding of spatial-territorial structures, functional linkages, and the internal logic of settlement systems. In contemporary economic geography, spatial development is increasingly conceptualized through the lens of polycentricity, agglomeration effects, and spatial cohesion</w:t>
      </w:r>
      <w:r w:rsidR="003136D6">
        <w:rPr>
          <w:rFonts w:ascii="Times New Roman" w:hAnsi="Times New Roman" w:cs="Times New Roman"/>
        </w:rPr>
        <w:t>.</w:t>
      </w:r>
      <w:r w:rsidR="00FA341E" w:rsidRPr="00E936C6">
        <w:rPr>
          <w:rStyle w:val="FootnoteReference"/>
          <w:rFonts w:ascii="Times New Roman" w:hAnsi="Times New Roman" w:cs="Times New Roman"/>
        </w:rPr>
        <w:footnoteReference w:id="1"/>
      </w:r>
      <w:r w:rsidRPr="00E936C6">
        <w:rPr>
          <w:rFonts w:ascii="Times New Roman" w:hAnsi="Times New Roman" w:cs="Times New Roman"/>
        </w:rPr>
        <w:t xml:space="preserve"> These ideas have been broadly discussed in economic and regional development literature, including works by Georgian scholars who emphasize the role of territorial organization, functional specialization, and spatial efficiency in shaping development trajectories</w:t>
      </w:r>
      <w:r w:rsidR="003136D6">
        <w:rPr>
          <w:rFonts w:ascii="Times New Roman" w:hAnsi="Times New Roman" w:cs="Times New Roman"/>
        </w:rPr>
        <w:t>.</w:t>
      </w:r>
      <w:r w:rsidR="002653E3" w:rsidRPr="00E936C6">
        <w:rPr>
          <w:rStyle w:val="FootnoteReference"/>
          <w:rFonts w:ascii="Times New Roman" w:hAnsi="Times New Roman" w:cs="Times New Roman"/>
        </w:rPr>
        <w:footnoteReference w:id="2"/>
      </w:r>
      <w:r w:rsidRPr="00E936C6">
        <w:rPr>
          <w:rFonts w:ascii="Times New Roman" w:hAnsi="Times New Roman" w:cs="Times New Roman"/>
        </w:rPr>
        <w:t xml:space="preserve"> Although their approaches vary, the literature converges on the notion that spatial structure fundamentally conditions the distribution of population, economic activity, and investment potential.</w:t>
      </w:r>
    </w:p>
    <w:p w14:paraId="22BD9AB0" w14:textId="16813AF7" w:rsidR="00407023" w:rsidRPr="00E936C6" w:rsidRDefault="00407023"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lastRenderedPageBreak/>
        <w:t>In Georgia</w:t>
      </w:r>
      <w:r w:rsidR="0070015C">
        <w:rPr>
          <w:rFonts w:ascii="Times New Roman" w:hAnsi="Times New Roman" w:cs="Times New Roman"/>
        </w:rPr>
        <w:t>’</w:t>
      </w:r>
      <w:r w:rsidRPr="00E936C6">
        <w:rPr>
          <w:rFonts w:ascii="Times New Roman" w:hAnsi="Times New Roman" w:cs="Times New Roman"/>
        </w:rPr>
        <w:t>s mountainous municipalities, spatial-territorial planning is linked not only to economic growth prospects but also to demographic sustainability, access to services, and the rational al</w:t>
      </w:r>
      <w:r w:rsidR="005D6649" w:rsidRPr="00E936C6">
        <w:rPr>
          <w:rFonts w:ascii="Times New Roman" w:hAnsi="Times New Roman" w:cs="Times New Roman"/>
        </w:rPr>
        <w:t>location of public resources</w:t>
      </w:r>
      <w:r w:rsidR="003136D6">
        <w:rPr>
          <w:rFonts w:ascii="Times New Roman" w:hAnsi="Times New Roman" w:cs="Times New Roman"/>
        </w:rPr>
        <w:t>.</w:t>
      </w:r>
      <w:r w:rsidR="005D6649" w:rsidRPr="00E936C6">
        <w:rPr>
          <w:rStyle w:val="FootnoteReference"/>
          <w:rFonts w:ascii="Times New Roman" w:hAnsi="Times New Roman" w:cs="Times New Roman"/>
        </w:rPr>
        <w:footnoteReference w:id="3"/>
      </w:r>
      <w:r w:rsidRPr="00E936C6">
        <w:rPr>
          <w:rFonts w:ascii="Times New Roman" w:hAnsi="Times New Roman" w:cs="Times New Roman"/>
        </w:rPr>
        <w:t xml:space="preserve"> Research on post-transition regional development shows that fragmented territorial policies and </w:t>
      </w:r>
      <w:r w:rsidR="0070015C">
        <w:rPr>
          <w:rFonts w:ascii="Times New Roman" w:hAnsi="Times New Roman" w:cs="Times New Roman"/>
        </w:rPr>
        <w:t>“</w:t>
      </w:r>
      <w:r w:rsidRPr="00E936C6">
        <w:rPr>
          <w:rFonts w:ascii="Times New Roman" w:hAnsi="Times New Roman" w:cs="Times New Roman"/>
        </w:rPr>
        <w:t>one-size-fits-all</w:t>
      </w:r>
      <w:r w:rsidR="0070015C">
        <w:rPr>
          <w:rFonts w:ascii="Times New Roman" w:hAnsi="Times New Roman" w:cs="Times New Roman"/>
        </w:rPr>
        <w:t>”</w:t>
      </w:r>
      <w:r w:rsidRPr="00E936C6">
        <w:rPr>
          <w:rFonts w:ascii="Times New Roman" w:hAnsi="Times New Roman" w:cs="Times New Roman"/>
        </w:rPr>
        <w:t xml:space="preserve"> approaches often exacerbate disparities between central and perip</w:t>
      </w:r>
      <w:r w:rsidR="005449D6" w:rsidRPr="00E936C6">
        <w:rPr>
          <w:rFonts w:ascii="Times New Roman" w:hAnsi="Times New Roman" w:cs="Times New Roman"/>
        </w:rPr>
        <w:t>heral settlements</w:t>
      </w:r>
      <w:r w:rsidR="003136D6">
        <w:rPr>
          <w:rFonts w:ascii="Times New Roman" w:hAnsi="Times New Roman" w:cs="Times New Roman"/>
        </w:rPr>
        <w:t>.</w:t>
      </w:r>
      <w:r w:rsidR="005449D6" w:rsidRPr="00E936C6">
        <w:rPr>
          <w:rStyle w:val="FootnoteReference"/>
          <w:rFonts w:ascii="Times New Roman" w:hAnsi="Times New Roman" w:cs="Times New Roman"/>
        </w:rPr>
        <w:footnoteReference w:id="4"/>
      </w:r>
      <w:r w:rsidRPr="00E936C6">
        <w:rPr>
          <w:rFonts w:ascii="Times New Roman" w:hAnsi="Times New Roman" w:cs="Times New Roman"/>
        </w:rPr>
        <w:t xml:space="preserve"> Likewise, studies on functional specialization and regional competitiveness argue that the concentration of infrastructure and economic functions in selected nodes can generate spillover benefits if the system is well </w:t>
      </w:r>
      <w:r w:rsidR="0070015C" w:rsidRPr="00E936C6">
        <w:rPr>
          <w:rFonts w:ascii="Times New Roman" w:hAnsi="Times New Roman" w:cs="Times New Roman"/>
        </w:rPr>
        <w:t>connected but</w:t>
      </w:r>
      <w:r w:rsidRPr="00E936C6">
        <w:rPr>
          <w:rFonts w:ascii="Times New Roman" w:hAnsi="Times New Roman" w:cs="Times New Roman"/>
        </w:rPr>
        <w:t xml:space="preserve"> may deepen inequalities under weak institutional </w:t>
      </w:r>
      <w:r w:rsidR="005449D6" w:rsidRPr="00E936C6">
        <w:rPr>
          <w:rFonts w:ascii="Times New Roman" w:hAnsi="Times New Roman" w:cs="Times New Roman"/>
        </w:rPr>
        <w:t>or infrastructural conditions</w:t>
      </w:r>
      <w:r w:rsidR="003136D6">
        <w:rPr>
          <w:rFonts w:ascii="Times New Roman" w:hAnsi="Times New Roman" w:cs="Times New Roman"/>
        </w:rPr>
        <w:t>.</w:t>
      </w:r>
      <w:r w:rsidR="005449D6" w:rsidRPr="00E936C6">
        <w:rPr>
          <w:rStyle w:val="FootnoteReference"/>
          <w:rFonts w:ascii="Times New Roman" w:hAnsi="Times New Roman" w:cs="Times New Roman"/>
        </w:rPr>
        <w:footnoteReference w:id="5"/>
      </w:r>
      <w:r w:rsidRPr="00E936C6">
        <w:rPr>
          <w:rFonts w:ascii="Times New Roman" w:hAnsi="Times New Roman" w:cs="Times New Roman"/>
        </w:rPr>
        <w:t xml:space="preserve"> Regional planning literature also underlines the importance of recognizing territorial heterogeneity and designing policies suited to specific functional zones, especially in tourism-led regions</w:t>
      </w:r>
      <w:r w:rsidR="003136D6">
        <w:rPr>
          <w:rFonts w:ascii="Times New Roman" w:hAnsi="Times New Roman" w:cs="Times New Roman"/>
        </w:rPr>
        <w:t>.</w:t>
      </w:r>
      <w:r w:rsidR="003667E5" w:rsidRPr="00E936C6">
        <w:rPr>
          <w:rStyle w:val="FootnoteReference"/>
          <w:rFonts w:ascii="Times New Roman" w:hAnsi="Times New Roman" w:cs="Times New Roman"/>
        </w:rPr>
        <w:footnoteReference w:id="6"/>
      </w:r>
    </w:p>
    <w:p w14:paraId="5EE40C28" w14:textId="3682A8D5" w:rsidR="00407023" w:rsidRPr="00E936C6" w:rsidRDefault="00407023"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t>Against this theoretical background, Borjomi Municipality represents a particularly informative case. Located in the Samtskhe–Javakheti region, Borjomi is one of Georgia</w:t>
      </w:r>
      <w:r w:rsidR="0070015C">
        <w:rPr>
          <w:rFonts w:ascii="Times New Roman" w:hAnsi="Times New Roman" w:cs="Times New Roman"/>
        </w:rPr>
        <w:t>’</w:t>
      </w:r>
      <w:r w:rsidRPr="00E936C6">
        <w:rPr>
          <w:rFonts w:ascii="Times New Roman" w:hAnsi="Times New Roman" w:cs="Times New Roman"/>
        </w:rPr>
        <w:t>s most significant tourism destinations, distinguished by mineral springs, national parks, mountainous landscapes, and year-round recreational resources. Yet despite the municipality</w:t>
      </w:r>
      <w:r w:rsidR="0070015C">
        <w:rPr>
          <w:rFonts w:ascii="Times New Roman" w:hAnsi="Times New Roman" w:cs="Times New Roman"/>
        </w:rPr>
        <w:t>’</w:t>
      </w:r>
      <w:r w:rsidRPr="00E936C6">
        <w:rPr>
          <w:rFonts w:ascii="Times New Roman" w:hAnsi="Times New Roman" w:cs="Times New Roman"/>
        </w:rPr>
        <w:t xml:space="preserve">s strategic importance, its spatial-territorial structure is uneven and highly seasonal, with substantial economic concentration in a limited number of settlements. For this study, Borjomi is conceptualized as a polycentric municipality composed of three dominant nodes: Borjomi–Likani as the administrative and service center, Bakuriani as a winter-specialized ski resort, and the seasonal villages along the Borjomi–Bakuriani corridor (e.g., Tsemi, Kimotesubani, Tsagveri), where economic activity fluctuates significantly between summer and winter tourism </w:t>
      </w:r>
      <w:r w:rsidR="00CE5024" w:rsidRPr="00E936C6">
        <w:rPr>
          <w:rFonts w:ascii="Times New Roman" w:hAnsi="Times New Roman" w:cs="Times New Roman"/>
        </w:rPr>
        <w:t>seasons</w:t>
      </w:r>
      <w:r w:rsidR="003136D6">
        <w:rPr>
          <w:rFonts w:ascii="Times New Roman" w:hAnsi="Times New Roman" w:cs="Times New Roman"/>
        </w:rPr>
        <w:t>.</w:t>
      </w:r>
      <w:r w:rsidR="00CE5024" w:rsidRPr="00E936C6">
        <w:rPr>
          <w:rStyle w:val="FootnoteReference"/>
          <w:rFonts w:ascii="Times New Roman" w:hAnsi="Times New Roman" w:cs="Times New Roman"/>
        </w:rPr>
        <w:footnoteReference w:id="7"/>
      </w:r>
    </w:p>
    <w:p w14:paraId="6DB3398A" w14:textId="77F05F38" w:rsidR="00407023" w:rsidRPr="00E936C6" w:rsidRDefault="00407023"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t>These nodes differ substantially in function, infrastructure, and economic potential. Spatial disparities between them shape the municipality</w:t>
      </w:r>
      <w:r w:rsidR="0070015C">
        <w:rPr>
          <w:rFonts w:ascii="Times New Roman" w:hAnsi="Times New Roman" w:cs="Times New Roman"/>
        </w:rPr>
        <w:t>’</w:t>
      </w:r>
      <w:r w:rsidRPr="00E936C6">
        <w:rPr>
          <w:rFonts w:ascii="Times New Roman" w:hAnsi="Times New Roman" w:cs="Times New Roman"/>
        </w:rPr>
        <w:t>s overall development trajectory, influencing labor mobility, business activity, property markets, and the availability of services. Field observations and qualitative interviews conducted in Borjomi reveal that many peripheral settlements remain deeply dependent on seasonal flows and on the economic vitality generated within the main nodes.</w:t>
      </w:r>
    </w:p>
    <w:p w14:paraId="0FB34943" w14:textId="38B94016" w:rsidR="00407023" w:rsidRPr="00E936C6" w:rsidRDefault="00407023"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t>The relevance of this research is strengthened by Georgia</w:t>
      </w:r>
      <w:r w:rsidR="0070015C">
        <w:rPr>
          <w:rFonts w:ascii="Times New Roman" w:hAnsi="Times New Roman" w:cs="Times New Roman"/>
        </w:rPr>
        <w:t>’</w:t>
      </w:r>
      <w:r w:rsidRPr="00E936C6">
        <w:rPr>
          <w:rFonts w:ascii="Times New Roman" w:hAnsi="Times New Roman" w:cs="Times New Roman"/>
        </w:rPr>
        <w:t>s ongoing regional policy reforms, which aim to enhance territorial cohesion and support decentralized development. However, policy implementation often remains fragmented, with limited integration between spatial planning, economic strategies, and t</w:t>
      </w:r>
      <w:r w:rsidR="0037305A" w:rsidRPr="00E936C6">
        <w:rPr>
          <w:rFonts w:ascii="Times New Roman" w:hAnsi="Times New Roman" w:cs="Times New Roman"/>
        </w:rPr>
        <w:t>ourism development</w:t>
      </w:r>
      <w:r w:rsidR="003136D6">
        <w:rPr>
          <w:rFonts w:ascii="Times New Roman" w:hAnsi="Times New Roman" w:cs="Times New Roman"/>
        </w:rPr>
        <w:t>.</w:t>
      </w:r>
      <w:r w:rsidR="0037305A" w:rsidRPr="00E936C6">
        <w:rPr>
          <w:rStyle w:val="FootnoteReference"/>
          <w:rFonts w:ascii="Times New Roman" w:hAnsi="Times New Roman" w:cs="Times New Roman"/>
        </w:rPr>
        <w:footnoteReference w:id="8"/>
      </w:r>
      <w:r w:rsidRPr="00E936C6">
        <w:rPr>
          <w:rFonts w:ascii="Times New Roman" w:hAnsi="Times New Roman" w:cs="Times New Roman"/>
        </w:rPr>
        <w:t xml:space="preserve"> By examining Borjomi</w:t>
      </w:r>
      <w:r w:rsidR="0070015C">
        <w:rPr>
          <w:rFonts w:ascii="Times New Roman" w:hAnsi="Times New Roman" w:cs="Times New Roman"/>
        </w:rPr>
        <w:t>’</w:t>
      </w:r>
      <w:r w:rsidRPr="00E936C6">
        <w:rPr>
          <w:rFonts w:ascii="Times New Roman" w:hAnsi="Times New Roman" w:cs="Times New Roman"/>
        </w:rPr>
        <w:t>s polycentric spatial structure, this study contributes to a more informed understanding of how functional nodes operate within mountainous municipalities and how targeted spatial interventions can generate more balanced and resilient development.</w:t>
      </w:r>
    </w:p>
    <w:p w14:paraId="6C0E58FE" w14:textId="7828C017" w:rsidR="00407023" w:rsidRPr="00E936C6" w:rsidRDefault="00407023"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t>International literature offers extensive conceptual foundations for understanding spatial-territorial development in complex geographies such as mountainous regions. European spatial planning research widely emphasizes the role of polycentric development</w:t>
      </w:r>
      <w:r w:rsidR="00AF0503">
        <w:rPr>
          <w:rStyle w:val="FootnoteReference"/>
          <w:rFonts w:ascii="Times New Roman" w:hAnsi="Times New Roman" w:cs="Times New Roman"/>
        </w:rPr>
        <w:footnoteReference w:id="9"/>
      </w:r>
      <w:r w:rsidRPr="00E936C6">
        <w:rPr>
          <w:rFonts w:ascii="Times New Roman" w:hAnsi="Times New Roman" w:cs="Times New Roman"/>
        </w:rPr>
        <w:t xml:space="preserve"> as a mechanism for reducing regional disparities and supporting balanced territorial gro</w:t>
      </w:r>
      <w:r w:rsidR="003F4BAC" w:rsidRPr="00E936C6">
        <w:rPr>
          <w:rFonts w:ascii="Times New Roman" w:hAnsi="Times New Roman" w:cs="Times New Roman"/>
        </w:rPr>
        <w:t>wth</w:t>
      </w:r>
      <w:r w:rsidR="003136D6">
        <w:rPr>
          <w:rFonts w:ascii="Times New Roman" w:hAnsi="Times New Roman" w:cs="Times New Roman"/>
        </w:rPr>
        <w:t>.</w:t>
      </w:r>
      <w:r w:rsidR="003F4BAC" w:rsidRPr="00E936C6">
        <w:rPr>
          <w:rStyle w:val="FootnoteReference"/>
          <w:rFonts w:ascii="Times New Roman" w:hAnsi="Times New Roman" w:cs="Times New Roman"/>
        </w:rPr>
        <w:footnoteReference w:id="10"/>
      </w:r>
      <w:r w:rsidRPr="00E936C6">
        <w:rPr>
          <w:rFonts w:ascii="Times New Roman" w:hAnsi="Times New Roman" w:cs="Times New Roman"/>
        </w:rPr>
        <w:t xml:space="preserve"> </w:t>
      </w:r>
      <w:r w:rsidRPr="00E936C6">
        <w:rPr>
          <w:rFonts w:ascii="Times New Roman" w:hAnsi="Times New Roman" w:cs="Times New Roman"/>
        </w:rPr>
        <w:lastRenderedPageBreak/>
        <w:t>Theories of agglomeration and spatial clustering, grounded in t</w:t>
      </w:r>
      <w:r w:rsidR="00B84815" w:rsidRPr="00E936C6">
        <w:rPr>
          <w:rFonts w:ascii="Times New Roman" w:hAnsi="Times New Roman" w:cs="Times New Roman"/>
        </w:rPr>
        <w:t>he works of Fujita et al.</w:t>
      </w:r>
      <w:r w:rsidR="003136D6">
        <w:rPr>
          <w:rFonts w:ascii="Times New Roman" w:hAnsi="Times New Roman" w:cs="Times New Roman"/>
        </w:rPr>
        <w:t>,</w:t>
      </w:r>
      <w:r w:rsidR="00B84815" w:rsidRPr="00E936C6">
        <w:rPr>
          <w:rStyle w:val="FootnoteReference"/>
          <w:rFonts w:ascii="Times New Roman" w:hAnsi="Times New Roman" w:cs="Times New Roman"/>
        </w:rPr>
        <w:footnoteReference w:id="11"/>
      </w:r>
      <w:r w:rsidRPr="00E936C6">
        <w:rPr>
          <w:rFonts w:ascii="Times New Roman" w:hAnsi="Times New Roman" w:cs="Times New Roman"/>
        </w:rPr>
        <w:t xml:space="preserve"> highlight how economic activities gravitate toward nodes with superior accessibility and infrastructure, reinforcing both opportunities and inequalities within regional systems. At the same time, New Regionalism frameworks stress the importance of relational connectivity, local institutional capacity, and place-based policy approaches</w:t>
      </w:r>
      <w:r w:rsidR="003136D6">
        <w:rPr>
          <w:rFonts w:ascii="Times New Roman" w:hAnsi="Times New Roman" w:cs="Times New Roman"/>
        </w:rPr>
        <w:t>.</w:t>
      </w:r>
      <w:r w:rsidR="004518E0" w:rsidRPr="00E936C6">
        <w:rPr>
          <w:rStyle w:val="FootnoteReference"/>
          <w:rFonts w:ascii="Times New Roman" w:hAnsi="Times New Roman" w:cs="Times New Roman"/>
        </w:rPr>
        <w:footnoteReference w:id="12"/>
      </w:r>
      <w:r w:rsidRPr="00E936C6">
        <w:rPr>
          <w:rFonts w:ascii="Times New Roman" w:hAnsi="Times New Roman" w:cs="Times New Roman"/>
        </w:rPr>
        <w:t xml:space="preserve"> Tourism-dependent regions, particularly in mountainous settings, have been shown to experience structural seasonality, fragmented value chains, and uneven development trajectories when governance and spatial planning fail to integrate peripheral settlements effectively</w:t>
      </w:r>
      <w:r w:rsidR="003136D6">
        <w:rPr>
          <w:rFonts w:ascii="Times New Roman" w:hAnsi="Times New Roman" w:cs="Times New Roman"/>
        </w:rPr>
        <w:t>.</w:t>
      </w:r>
      <w:r w:rsidR="00980797" w:rsidRPr="00E936C6">
        <w:rPr>
          <w:rStyle w:val="FootnoteReference"/>
          <w:rFonts w:ascii="Times New Roman" w:hAnsi="Times New Roman" w:cs="Times New Roman"/>
        </w:rPr>
        <w:footnoteReference w:id="13"/>
      </w:r>
      <w:r w:rsidRPr="00E936C6">
        <w:rPr>
          <w:rFonts w:ascii="Times New Roman" w:hAnsi="Times New Roman" w:cs="Times New Roman"/>
        </w:rPr>
        <w:t xml:space="preserve"> These international perspectives complement the Georgian context by underscoring that polycentricity, functional linkages, and spatially coordinated territorial policy are essential for building resilience and ensuring inclusive development across differentiated settlement systems.</w:t>
      </w:r>
    </w:p>
    <w:p w14:paraId="132A43F6" w14:textId="77777777" w:rsidR="006872EB" w:rsidRDefault="006872EB" w:rsidP="0096271C">
      <w:pPr>
        <w:pStyle w:val="Heading1"/>
        <w:spacing w:before="0"/>
        <w:jc w:val="both"/>
        <w:rPr>
          <w:rFonts w:ascii="Times New Roman" w:hAnsi="Times New Roman" w:cs="Times New Roman"/>
          <w:color w:val="000000" w:themeColor="text1"/>
          <w:sz w:val="22"/>
          <w:szCs w:val="22"/>
        </w:rPr>
      </w:pPr>
    </w:p>
    <w:p w14:paraId="78B88344" w14:textId="6620CB75" w:rsidR="009F7C06" w:rsidRPr="00E936C6" w:rsidRDefault="009F7C06" w:rsidP="0096271C">
      <w:pPr>
        <w:pStyle w:val="Heading1"/>
        <w:spacing w:before="0"/>
        <w:jc w:val="both"/>
        <w:rPr>
          <w:rFonts w:ascii="Times New Roman" w:hAnsi="Times New Roman" w:cs="Times New Roman"/>
          <w:color w:val="000000" w:themeColor="text1"/>
          <w:sz w:val="22"/>
          <w:szCs w:val="22"/>
        </w:rPr>
      </w:pPr>
      <w:r w:rsidRPr="00E936C6">
        <w:rPr>
          <w:rFonts w:ascii="Times New Roman" w:hAnsi="Times New Roman" w:cs="Times New Roman"/>
          <w:color w:val="000000" w:themeColor="text1"/>
          <w:sz w:val="22"/>
          <w:szCs w:val="22"/>
        </w:rPr>
        <w:t>Methodology</w:t>
      </w:r>
    </w:p>
    <w:p w14:paraId="5990CFFF" w14:textId="21F84258" w:rsidR="009F7C06" w:rsidRPr="00E936C6" w:rsidRDefault="009F7C06" w:rsidP="0096271C">
      <w:pPr>
        <w:spacing w:after="0" w:line="276" w:lineRule="auto"/>
        <w:ind w:firstLine="720"/>
        <w:jc w:val="both"/>
        <w:rPr>
          <w:rFonts w:ascii="Times New Roman" w:hAnsi="Times New Roman" w:cs="Times New Roman"/>
        </w:rPr>
      </w:pPr>
      <w:r w:rsidRPr="00E936C6">
        <w:rPr>
          <w:rFonts w:ascii="Times New Roman" w:hAnsi="Times New Roman" w:cs="Times New Roman"/>
        </w:rPr>
        <w:t>This study aims to analyze Borjomi Municipality</w:t>
      </w:r>
      <w:r w:rsidR="0070015C">
        <w:rPr>
          <w:rFonts w:ascii="Times New Roman" w:hAnsi="Times New Roman" w:cs="Times New Roman"/>
        </w:rPr>
        <w:t>’</w:t>
      </w:r>
      <w:r w:rsidRPr="00E936C6">
        <w:rPr>
          <w:rFonts w:ascii="Times New Roman" w:hAnsi="Times New Roman" w:cs="Times New Roman"/>
        </w:rPr>
        <w:t>s spatial-territorial structure through the lens of polycentric development and to assess how functional nodes, seasonal patterns, and value-chain dynamics shape local economic outcomes. The research objectives include: (1) identifying the dominant spatial-functional centers within the municipality; (2) assessing their linkages and disparities; (3) examining seasonal fluctuations and settlement-level dependencies; and (4) evaluating the extent to which local producers participate in tourism-driven value chains. The methodology applies qualitative fieldwork conducted in Borjomi Municipality, including semi-structured interviews with residents and local business representatives, direct observations, and the interpretation of municipal planning documents and secondary statistical data. A comparative, place-based analytical framework is used to understand how spatial concentration and functional specialization generate uneven development patterns in mountainous regions.</w:t>
      </w:r>
    </w:p>
    <w:p w14:paraId="1841CC75" w14:textId="77777777" w:rsidR="006872EB" w:rsidRDefault="006872EB" w:rsidP="0096271C">
      <w:pPr>
        <w:pStyle w:val="Heading2"/>
        <w:spacing w:before="0"/>
        <w:rPr>
          <w:rFonts w:ascii="Times New Roman" w:hAnsi="Times New Roman" w:cs="Times New Roman"/>
          <w:color w:val="000000" w:themeColor="text1"/>
          <w:sz w:val="22"/>
          <w:szCs w:val="22"/>
        </w:rPr>
      </w:pPr>
    </w:p>
    <w:p w14:paraId="23885310" w14:textId="577E02E4" w:rsidR="009F7C06" w:rsidRPr="00E936C6" w:rsidRDefault="009F7C06" w:rsidP="0096271C">
      <w:pPr>
        <w:pStyle w:val="Heading2"/>
        <w:spacing w:before="0"/>
        <w:rPr>
          <w:rFonts w:ascii="Times New Roman" w:hAnsi="Times New Roman" w:cs="Times New Roman"/>
          <w:color w:val="000000" w:themeColor="text1"/>
          <w:sz w:val="22"/>
          <w:szCs w:val="22"/>
        </w:rPr>
      </w:pPr>
      <w:r w:rsidRPr="00E936C6">
        <w:rPr>
          <w:rFonts w:ascii="Times New Roman" w:hAnsi="Times New Roman" w:cs="Times New Roman"/>
          <w:color w:val="000000" w:themeColor="text1"/>
          <w:sz w:val="22"/>
          <w:szCs w:val="22"/>
        </w:rPr>
        <w:t>Spatial–Territorial Structure and Functional Dynamics of Borjomi Municipality</w:t>
      </w:r>
    </w:p>
    <w:p w14:paraId="3FE75618" w14:textId="02359E0A"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 xml:space="preserve">The spatial–territorial configuration of Borjomi Municipality reflects the interaction between mountainous geomorphology, transportation corridors, and a tourism-driven local economy. Field observations and qualitative interviews conducted during the research reveal that Borjomi operates as a </w:t>
      </w:r>
      <w:r w:rsidRPr="00E936C6">
        <w:rPr>
          <w:rFonts w:eastAsiaTheme="minorEastAsia"/>
          <w:bCs/>
          <w:sz w:val="22"/>
          <w:szCs w:val="22"/>
        </w:rPr>
        <w:t>polycentric settlement system</w:t>
      </w:r>
      <w:r w:rsidRPr="00E936C6">
        <w:rPr>
          <w:rFonts w:eastAsiaTheme="minorEastAsia"/>
          <w:sz w:val="22"/>
          <w:szCs w:val="22"/>
        </w:rPr>
        <w:t>, within which three dominant nodes—Borjomi–Likani, Bakuriani, and the corridor villages—perform distinct but interconnected functions. These nodes exhibit asymmetrical economic weight, divergent seasonal profiles, and varying degrees of infrastructural maturity, shaping the municipality</w:t>
      </w:r>
      <w:r w:rsidR="0070015C">
        <w:rPr>
          <w:rFonts w:eastAsiaTheme="minorEastAsia"/>
          <w:sz w:val="22"/>
          <w:szCs w:val="22"/>
        </w:rPr>
        <w:t>’</w:t>
      </w:r>
      <w:r w:rsidRPr="00E936C6">
        <w:rPr>
          <w:rFonts w:eastAsiaTheme="minorEastAsia"/>
          <w:sz w:val="22"/>
          <w:szCs w:val="22"/>
        </w:rPr>
        <w:t>s internal spatial logic and development opportunities.</w:t>
      </w:r>
    </w:p>
    <w:p w14:paraId="28DEA2EC" w14:textId="40EEDD4D" w:rsidR="009F7C06" w:rsidRPr="00E936C6" w:rsidRDefault="009F7C06" w:rsidP="006872EB">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b/>
          <w:sz w:val="22"/>
          <w:szCs w:val="22"/>
        </w:rPr>
        <w:t>Borjomi–Likani as the Administrative, Service, and Health-Tourism Core</w:t>
      </w:r>
      <w:r w:rsidRPr="00E936C6">
        <w:rPr>
          <w:rFonts w:eastAsiaTheme="minorEastAsia"/>
          <w:b/>
          <w:sz w:val="22"/>
          <w:szCs w:val="22"/>
          <w:lang w:val="ka-GE"/>
        </w:rPr>
        <w:t xml:space="preserve">: </w:t>
      </w:r>
      <w:r w:rsidRPr="00E936C6">
        <w:rPr>
          <w:rFonts w:eastAsiaTheme="minorEastAsia"/>
          <w:sz w:val="22"/>
          <w:szCs w:val="22"/>
        </w:rPr>
        <w:t>The Borjomi–Likani cluster constitutes the municipality</w:t>
      </w:r>
      <w:r w:rsidR="0070015C">
        <w:rPr>
          <w:rFonts w:eastAsiaTheme="minorEastAsia"/>
          <w:sz w:val="22"/>
          <w:szCs w:val="22"/>
        </w:rPr>
        <w:t>’</w:t>
      </w:r>
      <w:r w:rsidRPr="00E936C6">
        <w:rPr>
          <w:rFonts w:eastAsiaTheme="minorEastAsia"/>
          <w:sz w:val="22"/>
          <w:szCs w:val="22"/>
        </w:rPr>
        <w:t>s most consolidated urban center, serving simultaneously as its administrative hub and its primary year-round tourism destination. The research indicates several defining characteristics:</w:t>
      </w:r>
    </w:p>
    <w:p w14:paraId="001D072A" w14:textId="573CA2E5" w:rsidR="009F7C06" w:rsidRPr="00E936C6" w:rsidRDefault="009F7C06" w:rsidP="006872EB">
      <w:pPr>
        <w:pStyle w:val="NormalWeb"/>
        <w:numPr>
          <w:ilvl w:val="0"/>
          <w:numId w:val="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Concentration of administrative institutions, public services, and social infrastructure</w:t>
      </w:r>
      <w:r w:rsidRPr="00E936C6">
        <w:rPr>
          <w:rFonts w:eastAsiaTheme="minorEastAsia"/>
          <w:sz w:val="22"/>
          <w:szCs w:val="22"/>
        </w:rPr>
        <w:t>, which anchors stable employment opportunities and public-sector mobility</w:t>
      </w:r>
      <w:r w:rsidR="00AB5AB7">
        <w:rPr>
          <w:rFonts w:eastAsiaTheme="minorEastAsia"/>
          <w:sz w:val="22"/>
          <w:szCs w:val="22"/>
        </w:rPr>
        <w:t>;</w:t>
      </w:r>
    </w:p>
    <w:p w14:paraId="74A8780C" w14:textId="202EA2E2" w:rsidR="009F7C06" w:rsidRPr="00E936C6" w:rsidRDefault="009F7C06" w:rsidP="006872EB">
      <w:pPr>
        <w:pStyle w:val="NormalWeb"/>
        <w:numPr>
          <w:ilvl w:val="0"/>
          <w:numId w:val="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Developed hospitality and wellness sectors</w:t>
      </w:r>
      <w:r w:rsidRPr="00E936C6">
        <w:rPr>
          <w:rFonts w:eastAsiaTheme="minorEastAsia"/>
          <w:sz w:val="22"/>
          <w:szCs w:val="22"/>
        </w:rPr>
        <w:t>, supported by mineral springs, health resorts, and access to Borjomi–Kharagauli National Park</w:t>
      </w:r>
      <w:r w:rsidR="00AB5AB7">
        <w:rPr>
          <w:rFonts w:eastAsiaTheme="minorEastAsia"/>
          <w:sz w:val="22"/>
          <w:szCs w:val="22"/>
        </w:rPr>
        <w:t>;</w:t>
      </w:r>
    </w:p>
    <w:p w14:paraId="7E12617D" w14:textId="79D8643D" w:rsidR="009F7C06" w:rsidRPr="00E936C6" w:rsidRDefault="009F7C06" w:rsidP="006872EB">
      <w:pPr>
        <w:pStyle w:val="NormalWeb"/>
        <w:numPr>
          <w:ilvl w:val="0"/>
          <w:numId w:val="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High density of commercial services</w:t>
      </w:r>
      <w:r w:rsidRPr="00E936C6">
        <w:rPr>
          <w:rFonts w:eastAsiaTheme="minorEastAsia"/>
          <w:sz w:val="22"/>
          <w:szCs w:val="22"/>
        </w:rPr>
        <w:t>, including hotels, guesthouses, retail, and dining establishments that attract both domestic and international visitors</w:t>
      </w:r>
      <w:r w:rsidR="00AB5AB7">
        <w:rPr>
          <w:rFonts w:eastAsiaTheme="minorEastAsia"/>
          <w:sz w:val="22"/>
          <w:szCs w:val="22"/>
        </w:rPr>
        <w:t>;</w:t>
      </w:r>
    </w:p>
    <w:p w14:paraId="2232EDAD" w14:textId="77777777" w:rsidR="009F7C06" w:rsidRPr="00E936C6" w:rsidRDefault="009F7C06" w:rsidP="006872EB">
      <w:pPr>
        <w:pStyle w:val="NormalWeb"/>
        <w:numPr>
          <w:ilvl w:val="0"/>
          <w:numId w:val="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Strong nodal influence</w:t>
      </w:r>
      <w:r w:rsidRPr="00E936C6">
        <w:rPr>
          <w:rFonts w:eastAsiaTheme="minorEastAsia"/>
          <w:sz w:val="22"/>
          <w:szCs w:val="22"/>
        </w:rPr>
        <w:t>, as residents from surrounding villages rely on Borjomi–Likani for education, healthcare, administrative procedures, and market access.</w:t>
      </w:r>
    </w:p>
    <w:p w14:paraId="16D4C3AB" w14:textId="47BF4CA2" w:rsidR="009F7C06" w:rsidRPr="00E936C6" w:rsidRDefault="009F7C06" w:rsidP="006872EB">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lastRenderedPageBreak/>
        <w:t>These attributes position Borjomi–Likani as the municipality</w:t>
      </w:r>
      <w:r w:rsidR="0070015C">
        <w:rPr>
          <w:rFonts w:eastAsiaTheme="minorEastAsia"/>
          <w:sz w:val="22"/>
          <w:szCs w:val="22"/>
        </w:rPr>
        <w:t>’</w:t>
      </w:r>
      <w:r w:rsidRPr="00E936C6">
        <w:rPr>
          <w:rFonts w:eastAsiaTheme="minorEastAsia"/>
          <w:sz w:val="22"/>
          <w:szCs w:val="22"/>
        </w:rPr>
        <w:t xml:space="preserve">s primary functional center, generating regular commuter flows and acting as the infrastructural and economic </w:t>
      </w:r>
      <w:r w:rsidR="0070015C">
        <w:rPr>
          <w:rFonts w:eastAsiaTheme="minorEastAsia"/>
          <w:sz w:val="22"/>
          <w:szCs w:val="22"/>
        </w:rPr>
        <w:t>“</w:t>
      </w:r>
      <w:r w:rsidRPr="00E936C6">
        <w:rPr>
          <w:rFonts w:eastAsiaTheme="minorEastAsia"/>
          <w:sz w:val="22"/>
          <w:szCs w:val="22"/>
        </w:rPr>
        <w:t>anchor</w:t>
      </w:r>
      <w:r w:rsidR="0070015C">
        <w:rPr>
          <w:rFonts w:eastAsiaTheme="minorEastAsia"/>
          <w:sz w:val="22"/>
          <w:szCs w:val="22"/>
        </w:rPr>
        <w:t>”</w:t>
      </w:r>
      <w:r w:rsidRPr="00E936C6">
        <w:rPr>
          <w:rFonts w:eastAsiaTheme="minorEastAsia"/>
          <w:sz w:val="22"/>
          <w:szCs w:val="22"/>
        </w:rPr>
        <w:t xml:space="preserve"> of the broader spatial system</w:t>
      </w:r>
      <w:r w:rsidRPr="00E936C6">
        <w:rPr>
          <w:rFonts w:eastAsiaTheme="minorEastAsia"/>
          <w:sz w:val="22"/>
          <w:szCs w:val="22"/>
          <w:lang w:val="ka-GE"/>
        </w:rPr>
        <w:t>.</w:t>
      </w:r>
    </w:p>
    <w:p w14:paraId="7B6324F9" w14:textId="3F481D3F"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lang w:val="ka-GE"/>
        </w:rPr>
      </w:pPr>
      <w:r w:rsidRPr="00E936C6">
        <w:rPr>
          <w:rFonts w:eastAsiaTheme="minorEastAsia"/>
          <w:b/>
          <w:sz w:val="22"/>
          <w:szCs w:val="22"/>
        </w:rPr>
        <w:t>Bakuriani as a Rapidly Transforming Winter Resort Node</w:t>
      </w:r>
      <w:r w:rsidRPr="00E936C6">
        <w:rPr>
          <w:rFonts w:eastAsiaTheme="minorEastAsia"/>
          <w:b/>
          <w:sz w:val="22"/>
          <w:szCs w:val="22"/>
          <w:lang w:val="ka-GE"/>
        </w:rPr>
        <w:t>:</w:t>
      </w:r>
      <w:r w:rsidRPr="00E936C6">
        <w:rPr>
          <w:rFonts w:eastAsiaTheme="minorEastAsia"/>
          <w:sz w:val="22"/>
          <w:szCs w:val="22"/>
        </w:rPr>
        <w:t xml:space="preserve"> Bakuriani represents the municipality</w:t>
      </w:r>
      <w:r w:rsidR="0070015C">
        <w:rPr>
          <w:rFonts w:eastAsiaTheme="minorEastAsia"/>
          <w:sz w:val="22"/>
          <w:szCs w:val="22"/>
        </w:rPr>
        <w:t>’</w:t>
      </w:r>
      <w:r w:rsidRPr="00E936C6">
        <w:rPr>
          <w:rFonts w:eastAsiaTheme="minorEastAsia"/>
          <w:sz w:val="22"/>
          <w:szCs w:val="22"/>
        </w:rPr>
        <w:t>s second major node, distinguished by its dynamic transformation into a winter-sport and recreational destination. The analysis reveals that:</w:t>
      </w:r>
    </w:p>
    <w:p w14:paraId="258E6AF5" w14:textId="7C164616" w:rsidR="009F7C06" w:rsidRPr="00E936C6" w:rsidRDefault="009F7C06" w:rsidP="006872EB">
      <w:pPr>
        <w:pStyle w:val="NormalWeb"/>
        <w:numPr>
          <w:ilvl w:val="0"/>
          <w:numId w:val="10"/>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Winter tourism specialization</w:t>
      </w:r>
      <w:r w:rsidRPr="00E936C6">
        <w:rPr>
          <w:rFonts w:eastAsiaTheme="minorEastAsia"/>
          <w:sz w:val="22"/>
          <w:szCs w:val="22"/>
        </w:rPr>
        <w:t>—particularly ski infrastructure—remains Bakuriani</w:t>
      </w:r>
      <w:r w:rsidR="0070015C">
        <w:rPr>
          <w:rFonts w:eastAsiaTheme="minorEastAsia"/>
          <w:sz w:val="22"/>
          <w:szCs w:val="22"/>
        </w:rPr>
        <w:t>’</w:t>
      </w:r>
      <w:r w:rsidRPr="00E936C6">
        <w:rPr>
          <w:rFonts w:eastAsiaTheme="minorEastAsia"/>
          <w:sz w:val="22"/>
          <w:szCs w:val="22"/>
        </w:rPr>
        <w:t>s dominant economic driver</w:t>
      </w:r>
      <w:r w:rsidR="00A353C8">
        <w:rPr>
          <w:rFonts w:eastAsiaTheme="minorEastAsia"/>
          <w:sz w:val="22"/>
          <w:szCs w:val="22"/>
        </w:rPr>
        <w:t>;</w:t>
      </w:r>
    </w:p>
    <w:p w14:paraId="63A9EE47" w14:textId="714E061F" w:rsidR="009F7C06" w:rsidRPr="00E936C6" w:rsidRDefault="009F7C06" w:rsidP="006872EB">
      <w:pPr>
        <w:pStyle w:val="NormalWeb"/>
        <w:numPr>
          <w:ilvl w:val="0"/>
          <w:numId w:val="10"/>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Rapid urbanization and large-scale real-estate development</w:t>
      </w:r>
      <w:r w:rsidRPr="00E936C6">
        <w:rPr>
          <w:rFonts w:eastAsiaTheme="minorEastAsia"/>
          <w:sz w:val="22"/>
          <w:szCs w:val="22"/>
        </w:rPr>
        <w:t xml:space="preserve"> have reshaped the built environment, often outpacing municipal planning capacity</w:t>
      </w:r>
      <w:r w:rsidR="00A353C8">
        <w:rPr>
          <w:rFonts w:eastAsiaTheme="minorEastAsia"/>
          <w:sz w:val="22"/>
          <w:szCs w:val="22"/>
        </w:rPr>
        <w:t>;</w:t>
      </w:r>
    </w:p>
    <w:p w14:paraId="0926F941" w14:textId="15667FA4" w:rsidR="009F7C06" w:rsidRPr="00E936C6" w:rsidRDefault="009F7C06" w:rsidP="006872EB">
      <w:pPr>
        <w:pStyle w:val="NormalWeb"/>
        <w:numPr>
          <w:ilvl w:val="0"/>
          <w:numId w:val="10"/>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Expanding but uneven year-round tourism potential</w:t>
      </w:r>
      <w:r w:rsidRPr="00E936C6">
        <w:rPr>
          <w:rFonts w:eastAsiaTheme="minorEastAsia"/>
          <w:sz w:val="22"/>
          <w:szCs w:val="22"/>
        </w:rPr>
        <w:t xml:space="preserve"> is emerging due to new service offerings, although seasonality remains pronounced</w:t>
      </w:r>
      <w:r w:rsidR="00A353C8">
        <w:rPr>
          <w:rFonts w:eastAsiaTheme="minorEastAsia"/>
          <w:sz w:val="22"/>
          <w:szCs w:val="22"/>
        </w:rPr>
        <w:t>;</w:t>
      </w:r>
    </w:p>
    <w:p w14:paraId="3734F5D3" w14:textId="77777777" w:rsidR="009F7C06" w:rsidRPr="00E936C6" w:rsidRDefault="009F7C06" w:rsidP="006872EB">
      <w:pPr>
        <w:pStyle w:val="NormalWeb"/>
        <w:numPr>
          <w:ilvl w:val="0"/>
          <w:numId w:val="10"/>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High concentration of hotels, rental apartments, and tourism services</w:t>
      </w:r>
      <w:r w:rsidRPr="00E936C6">
        <w:rPr>
          <w:rFonts w:eastAsiaTheme="minorEastAsia"/>
          <w:sz w:val="22"/>
          <w:szCs w:val="22"/>
        </w:rPr>
        <w:t>, primarily catering to winter visitors.</w:t>
      </w:r>
    </w:p>
    <w:p w14:paraId="05C776DF" w14:textId="3C0FDB6C" w:rsidR="009F7C06" w:rsidRPr="00E936C6" w:rsidRDefault="009F7C06" w:rsidP="006872EB">
      <w:pPr>
        <w:pStyle w:val="NormalWeb"/>
        <w:spacing w:before="0" w:beforeAutospacing="0" w:after="0" w:afterAutospacing="0" w:line="276" w:lineRule="auto"/>
        <w:ind w:firstLine="720"/>
        <w:jc w:val="both"/>
        <w:rPr>
          <w:rFonts w:eastAsiaTheme="minorEastAsia"/>
          <w:sz w:val="22"/>
          <w:szCs w:val="22"/>
          <w:lang w:val="ka-GE"/>
        </w:rPr>
      </w:pPr>
      <w:r w:rsidRPr="00E936C6">
        <w:rPr>
          <w:rFonts w:eastAsiaTheme="minorEastAsia"/>
          <w:sz w:val="22"/>
          <w:szCs w:val="22"/>
        </w:rPr>
        <w:t xml:space="preserve">These dynamics illustrate a tourism-intensive node heavily influenced by private investment and national-level infrastructural </w:t>
      </w:r>
      <w:r w:rsidR="003136D6" w:rsidRPr="00E936C6">
        <w:rPr>
          <w:rFonts w:eastAsiaTheme="minorEastAsia"/>
          <w:sz w:val="22"/>
          <w:szCs w:val="22"/>
        </w:rPr>
        <w:t>initiatives</w:t>
      </w:r>
      <w:r w:rsidR="003136D6">
        <w:rPr>
          <w:rFonts w:eastAsiaTheme="minorEastAsia"/>
          <w:sz w:val="22"/>
          <w:szCs w:val="22"/>
        </w:rPr>
        <w:t>,</w:t>
      </w:r>
      <w:r w:rsidR="003136D6" w:rsidRPr="00E936C6">
        <w:rPr>
          <w:rFonts w:eastAsiaTheme="minorEastAsia"/>
          <w:sz w:val="22"/>
          <w:szCs w:val="22"/>
        </w:rPr>
        <w:t xml:space="preserve"> yet</w:t>
      </w:r>
      <w:r w:rsidRPr="00E936C6">
        <w:rPr>
          <w:rFonts w:eastAsiaTheme="minorEastAsia"/>
          <w:sz w:val="22"/>
          <w:szCs w:val="22"/>
        </w:rPr>
        <w:t xml:space="preserve"> still challenged by spatial seasonality and the need for diversified functional capacity</w:t>
      </w:r>
      <w:r w:rsidRPr="00E936C6">
        <w:rPr>
          <w:rFonts w:eastAsiaTheme="minorEastAsia"/>
          <w:sz w:val="22"/>
          <w:szCs w:val="22"/>
          <w:lang w:val="ka-GE"/>
        </w:rPr>
        <w:t xml:space="preserve">. </w:t>
      </w:r>
    </w:p>
    <w:p w14:paraId="50280CF9" w14:textId="0C3F3802"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b/>
          <w:sz w:val="22"/>
          <w:szCs w:val="22"/>
        </w:rPr>
        <w:t>Seasonal Villages along the Borjomi–Bakuriani Corridor</w:t>
      </w:r>
      <w:r w:rsidRPr="00E936C6">
        <w:rPr>
          <w:rFonts w:eastAsiaTheme="minorEastAsia"/>
          <w:b/>
          <w:sz w:val="22"/>
          <w:szCs w:val="22"/>
          <w:lang w:val="ka-GE"/>
        </w:rPr>
        <w:t>:</w:t>
      </w:r>
      <w:r w:rsidRPr="00E936C6">
        <w:rPr>
          <w:rFonts w:eastAsiaTheme="minorEastAsia"/>
          <w:sz w:val="22"/>
          <w:szCs w:val="22"/>
          <w:lang w:val="ka-GE"/>
        </w:rPr>
        <w:t xml:space="preserve"> </w:t>
      </w:r>
      <w:r w:rsidRPr="00E936C6">
        <w:rPr>
          <w:rFonts w:eastAsiaTheme="minorEastAsia"/>
          <w:sz w:val="22"/>
          <w:szCs w:val="22"/>
        </w:rPr>
        <w:t>A third set of nodes—Tsemi, Kimotesubani, Tsagveri, and other settlements along the Borjomi–Bakuriani road—constitute the municipality</w:t>
      </w:r>
      <w:r w:rsidR="0070015C">
        <w:rPr>
          <w:rFonts w:eastAsiaTheme="minorEastAsia"/>
          <w:sz w:val="22"/>
          <w:szCs w:val="22"/>
        </w:rPr>
        <w:t>’</w:t>
      </w:r>
      <w:r w:rsidRPr="00E936C6">
        <w:rPr>
          <w:rFonts w:eastAsiaTheme="minorEastAsia"/>
          <w:sz w:val="22"/>
          <w:szCs w:val="22"/>
        </w:rPr>
        <w:t>s most seasonally sensitive area. The research identifies several shared characteristics:</w:t>
      </w:r>
    </w:p>
    <w:p w14:paraId="2B867CA2" w14:textId="3CB175FF" w:rsidR="009F7C06" w:rsidRPr="00E936C6" w:rsidRDefault="009F7C06" w:rsidP="006872EB">
      <w:pPr>
        <w:pStyle w:val="NormalWeb"/>
        <w:numPr>
          <w:ilvl w:val="0"/>
          <w:numId w:val="11"/>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Pronounced seasonal fluctuations</w:t>
      </w:r>
      <w:r w:rsidRPr="00E936C6">
        <w:rPr>
          <w:rFonts w:eastAsiaTheme="minorEastAsia"/>
          <w:sz w:val="22"/>
          <w:szCs w:val="22"/>
        </w:rPr>
        <w:t>, with peak economic activity during the summer season and significantly reduced demand during winter</w:t>
      </w:r>
      <w:r w:rsidR="0057297C">
        <w:rPr>
          <w:rFonts w:eastAsiaTheme="minorEastAsia"/>
          <w:sz w:val="22"/>
          <w:szCs w:val="22"/>
        </w:rPr>
        <w:t>;</w:t>
      </w:r>
    </w:p>
    <w:p w14:paraId="616813F6" w14:textId="045AA2AC" w:rsidR="009F7C06" w:rsidRPr="00E936C6" w:rsidRDefault="009F7C06" w:rsidP="006872EB">
      <w:pPr>
        <w:pStyle w:val="NormalWeb"/>
        <w:numPr>
          <w:ilvl w:val="0"/>
          <w:numId w:val="11"/>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Economic dependence on transit flows</w:t>
      </w:r>
      <w:r w:rsidRPr="00E936C6">
        <w:rPr>
          <w:rFonts w:eastAsiaTheme="minorEastAsia"/>
          <w:sz w:val="22"/>
          <w:szCs w:val="22"/>
        </w:rPr>
        <w:t>, with livelihoods tied to passing tourists and the tourism cycles of Borjomi–Likani and Bakuriani</w:t>
      </w:r>
      <w:r w:rsidR="0057297C">
        <w:rPr>
          <w:rFonts w:eastAsiaTheme="minorEastAsia"/>
          <w:sz w:val="22"/>
          <w:szCs w:val="22"/>
        </w:rPr>
        <w:t>;</w:t>
      </w:r>
    </w:p>
    <w:p w14:paraId="70D2BEA6" w14:textId="60C25797" w:rsidR="009F7C06" w:rsidRPr="00E936C6" w:rsidRDefault="009F7C06" w:rsidP="006872EB">
      <w:pPr>
        <w:pStyle w:val="NormalWeb"/>
        <w:numPr>
          <w:ilvl w:val="0"/>
          <w:numId w:val="11"/>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Limited permanent employment opportunities</w:t>
      </w:r>
      <w:r w:rsidRPr="00E936C6">
        <w:rPr>
          <w:rFonts w:eastAsiaTheme="minorEastAsia"/>
          <w:sz w:val="22"/>
          <w:szCs w:val="22"/>
        </w:rPr>
        <w:t xml:space="preserve"> and a reliance on small-scale hospitality, roadside commerce, or temporary migration</w:t>
      </w:r>
      <w:r w:rsidR="0057297C">
        <w:rPr>
          <w:rFonts w:eastAsiaTheme="minorEastAsia"/>
          <w:sz w:val="22"/>
          <w:szCs w:val="22"/>
        </w:rPr>
        <w:t>;</w:t>
      </w:r>
    </w:p>
    <w:p w14:paraId="5FE8D0ED" w14:textId="7D3FDC91" w:rsidR="009F7C06" w:rsidRPr="00E936C6" w:rsidRDefault="009F7C06" w:rsidP="006872EB">
      <w:pPr>
        <w:pStyle w:val="NormalWeb"/>
        <w:numPr>
          <w:ilvl w:val="0"/>
          <w:numId w:val="11"/>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Underdeveloped physical and service infrastructure</w:t>
      </w:r>
      <w:r w:rsidRPr="00E936C6">
        <w:rPr>
          <w:rFonts w:eastAsiaTheme="minorEastAsia"/>
          <w:sz w:val="22"/>
          <w:szCs w:val="22"/>
        </w:rPr>
        <w:t xml:space="preserve"> constrain</w:t>
      </w:r>
      <w:r w:rsidR="003136D6">
        <w:rPr>
          <w:rFonts w:eastAsiaTheme="minorEastAsia"/>
          <w:sz w:val="22"/>
          <w:szCs w:val="22"/>
        </w:rPr>
        <w:t>s</w:t>
      </w:r>
      <w:r w:rsidRPr="00E936C6">
        <w:rPr>
          <w:rFonts w:eastAsiaTheme="minorEastAsia"/>
          <w:sz w:val="22"/>
          <w:szCs w:val="22"/>
        </w:rPr>
        <w:t xml:space="preserve"> their potential to function as autonomous development nodes.</w:t>
      </w:r>
    </w:p>
    <w:p w14:paraId="01A40039" w14:textId="6D3066ED"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These corridor villages operate as intermediary spaces within the municipality</w:t>
      </w:r>
      <w:r w:rsidR="0070015C">
        <w:rPr>
          <w:rFonts w:eastAsiaTheme="minorEastAsia"/>
          <w:sz w:val="22"/>
          <w:szCs w:val="22"/>
        </w:rPr>
        <w:t>’</w:t>
      </w:r>
      <w:r w:rsidRPr="00E936C6">
        <w:rPr>
          <w:rFonts w:eastAsiaTheme="minorEastAsia"/>
          <w:sz w:val="22"/>
          <w:szCs w:val="22"/>
        </w:rPr>
        <w:t>s spatial system but lack sufficient functional specialization or investment to generate sustained economic activity.</w:t>
      </w:r>
    </w:p>
    <w:p w14:paraId="0BA9424F" w14:textId="77777777"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Seasonal Dynamics and Implications for Local Livelihoods - Seasonality emerged as a central theme in the research, shaping household strategies, business operations, and spatial interactions:</w:t>
      </w:r>
    </w:p>
    <w:p w14:paraId="77617BA2" w14:textId="5FD04C54" w:rsidR="009F7C06" w:rsidRPr="00E936C6" w:rsidRDefault="009F7C06" w:rsidP="006872EB">
      <w:pPr>
        <w:pStyle w:val="NormalWeb"/>
        <w:numPr>
          <w:ilvl w:val="0"/>
          <w:numId w:val="12"/>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 xml:space="preserve">Summer constitutes the primary peak season </w:t>
      </w:r>
      <w:r w:rsidRPr="00E936C6">
        <w:rPr>
          <w:rFonts w:eastAsiaTheme="minorEastAsia"/>
          <w:sz w:val="22"/>
          <w:szCs w:val="22"/>
        </w:rPr>
        <w:t xml:space="preserve">in Borjomi–Likani, while </w:t>
      </w:r>
      <w:r w:rsidRPr="00E936C6">
        <w:rPr>
          <w:rFonts w:eastAsiaTheme="minorEastAsia"/>
          <w:bCs/>
          <w:sz w:val="22"/>
          <w:szCs w:val="22"/>
        </w:rPr>
        <w:t>winter dominates in Bakuriani</w:t>
      </w:r>
      <w:r w:rsidRPr="00E936C6">
        <w:rPr>
          <w:rFonts w:eastAsiaTheme="minorEastAsia"/>
          <w:sz w:val="22"/>
          <w:szCs w:val="22"/>
        </w:rPr>
        <w:t>, creating dual but unaligned seasonal cycles</w:t>
      </w:r>
      <w:r w:rsidR="0057297C">
        <w:rPr>
          <w:rFonts w:eastAsiaTheme="minorEastAsia"/>
          <w:sz w:val="22"/>
          <w:szCs w:val="22"/>
        </w:rPr>
        <w:t>;</w:t>
      </w:r>
    </w:p>
    <w:p w14:paraId="71D0DE43" w14:textId="72185FC9" w:rsidR="009F7C06" w:rsidRPr="00E936C6" w:rsidRDefault="009F7C06" w:rsidP="006872EB">
      <w:pPr>
        <w:pStyle w:val="NormalWeb"/>
        <w:numPr>
          <w:ilvl w:val="0"/>
          <w:numId w:val="12"/>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Corridor villages rely heavily on short periods of tourism-driven demand</w:t>
      </w:r>
      <w:r w:rsidRPr="00E936C6">
        <w:rPr>
          <w:rFonts w:eastAsiaTheme="minorEastAsia"/>
          <w:sz w:val="22"/>
          <w:szCs w:val="22"/>
        </w:rPr>
        <w:t>, making income highly volatile</w:t>
      </w:r>
      <w:r w:rsidR="0057297C">
        <w:rPr>
          <w:rFonts w:eastAsiaTheme="minorEastAsia"/>
          <w:sz w:val="22"/>
          <w:szCs w:val="22"/>
        </w:rPr>
        <w:t>;</w:t>
      </w:r>
    </w:p>
    <w:p w14:paraId="74EBA1DA" w14:textId="54239BF0" w:rsidR="009F7C06" w:rsidRPr="00E936C6" w:rsidRDefault="009F7C06" w:rsidP="006872EB">
      <w:pPr>
        <w:pStyle w:val="NormalWeb"/>
        <w:numPr>
          <w:ilvl w:val="0"/>
          <w:numId w:val="12"/>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Mixed livelihood strategies</w:t>
      </w:r>
      <w:r w:rsidRPr="00E936C6">
        <w:rPr>
          <w:rFonts w:eastAsiaTheme="minorEastAsia"/>
          <w:sz w:val="22"/>
          <w:szCs w:val="22"/>
        </w:rPr>
        <w:t>, including temporary out-migration to Tbilisi or other urban centers, are widespread among working-age residents</w:t>
      </w:r>
      <w:r w:rsidR="0057297C">
        <w:rPr>
          <w:rFonts w:eastAsiaTheme="minorEastAsia"/>
          <w:sz w:val="22"/>
          <w:szCs w:val="22"/>
        </w:rPr>
        <w:t>;</w:t>
      </w:r>
    </w:p>
    <w:p w14:paraId="0EAD2F98" w14:textId="77777777" w:rsidR="009F7C06" w:rsidRPr="00E936C6" w:rsidRDefault="009F7C06" w:rsidP="006872EB">
      <w:pPr>
        <w:pStyle w:val="NormalWeb"/>
        <w:numPr>
          <w:ilvl w:val="0"/>
          <w:numId w:val="12"/>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Local agricultural producers face systemic barriers</w:t>
      </w:r>
      <w:r w:rsidRPr="00E936C6">
        <w:rPr>
          <w:rFonts w:eastAsiaTheme="minorEastAsia"/>
          <w:sz w:val="22"/>
          <w:szCs w:val="22"/>
        </w:rPr>
        <w:t>—including small production volumes, certification requirements, and logistical challenges—preventing them from entering tourism-related supply chains.</w:t>
      </w:r>
    </w:p>
    <w:p w14:paraId="25079663" w14:textId="77777777" w:rsidR="009F7C0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 xml:space="preserve">Consequently, a significant share of goods consumed in Borjomi and Bakuriani is imported from major cities, resulting in </w:t>
      </w:r>
      <w:r w:rsidRPr="00E936C6">
        <w:rPr>
          <w:rFonts w:eastAsiaTheme="minorEastAsia"/>
          <w:bCs/>
          <w:sz w:val="22"/>
          <w:szCs w:val="22"/>
        </w:rPr>
        <w:t>weak local value-chain integration</w:t>
      </w:r>
      <w:r w:rsidRPr="00E936C6">
        <w:rPr>
          <w:rFonts w:eastAsiaTheme="minorEastAsia"/>
          <w:sz w:val="22"/>
          <w:szCs w:val="22"/>
        </w:rPr>
        <w:t xml:space="preserve"> and missed economic opportunities for rural households.</w:t>
      </w:r>
    </w:p>
    <w:p w14:paraId="0C09F60A" w14:textId="77777777" w:rsidR="006872EB" w:rsidRPr="00E936C6" w:rsidRDefault="006872EB" w:rsidP="0096271C">
      <w:pPr>
        <w:pStyle w:val="NormalWeb"/>
        <w:spacing w:before="0" w:beforeAutospacing="0" w:after="0" w:afterAutospacing="0" w:line="276" w:lineRule="auto"/>
        <w:ind w:firstLine="720"/>
        <w:jc w:val="both"/>
        <w:rPr>
          <w:rFonts w:eastAsiaTheme="minorEastAsia"/>
          <w:sz w:val="22"/>
          <w:szCs w:val="22"/>
        </w:rPr>
      </w:pPr>
    </w:p>
    <w:p w14:paraId="2F212856" w14:textId="3B4317E6" w:rsidR="009F7C06" w:rsidRPr="00E936C6" w:rsidRDefault="009F7C06" w:rsidP="0096271C">
      <w:pPr>
        <w:pStyle w:val="NormalWeb"/>
        <w:spacing w:before="0" w:beforeAutospacing="0" w:after="0" w:afterAutospacing="0" w:line="276" w:lineRule="auto"/>
        <w:jc w:val="center"/>
        <w:rPr>
          <w:rFonts w:eastAsiaTheme="minorEastAsia"/>
          <w:b/>
          <w:sz w:val="22"/>
          <w:szCs w:val="22"/>
        </w:rPr>
      </w:pPr>
      <w:r w:rsidRPr="00E936C6">
        <w:rPr>
          <w:rFonts w:eastAsiaTheme="minorEastAsia"/>
          <w:b/>
          <w:sz w:val="22"/>
          <w:szCs w:val="22"/>
        </w:rPr>
        <w:t>Table. Functional characteristics of the three dominant nodes (author</w:t>
      </w:r>
      <w:r w:rsidR="0070015C">
        <w:rPr>
          <w:rFonts w:eastAsiaTheme="minorEastAsia"/>
          <w:b/>
          <w:sz w:val="22"/>
          <w:szCs w:val="22"/>
        </w:rPr>
        <w:t>’</w:t>
      </w:r>
      <w:r w:rsidRPr="00E936C6">
        <w:rPr>
          <w:rFonts w:eastAsiaTheme="minorEastAsia"/>
          <w:b/>
          <w:sz w:val="22"/>
          <w:szCs w:val="22"/>
        </w:rPr>
        <w:t>s own)</w:t>
      </w:r>
    </w:p>
    <w:tbl>
      <w:tblPr>
        <w:tblStyle w:val="TableGrid"/>
        <w:tblW w:w="0" w:type="auto"/>
        <w:jc w:val="center"/>
        <w:tblLook w:val="04A0" w:firstRow="1" w:lastRow="0" w:firstColumn="1" w:lastColumn="0" w:noHBand="0" w:noVBand="1"/>
      </w:tblPr>
      <w:tblGrid>
        <w:gridCol w:w="1235"/>
        <w:gridCol w:w="2055"/>
        <w:gridCol w:w="1992"/>
        <w:gridCol w:w="1686"/>
        <w:gridCol w:w="2081"/>
        <w:gridCol w:w="1967"/>
      </w:tblGrid>
      <w:tr w:rsidR="009F7C06" w:rsidRPr="00E936C6" w14:paraId="72533D6B" w14:textId="77777777" w:rsidTr="0096271C">
        <w:trPr>
          <w:jc w:val="center"/>
        </w:trPr>
        <w:tc>
          <w:tcPr>
            <w:tcW w:w="0" w:type="auto"/>
            <w:hideMark/>
          </w:tcPr>
          <w:p w14:paraId="261532F3" w14:textId="77777777" w:rsidR="009F7C06" w:rsidRPr="00E936C6" w:rsidRDefault="009F7C06" w:rsidP="0096271C">
            <w:pPr>
              <w:spacing w:line="276" w:lineRule="auto"/>
              <w:jc w:val="center"/>
              <w:rPr>
                <w:rFonts w:ascii="Times New Roman" w:eastAsia="Times New Roman" w:hAnsi="Times New Roman" w:cs="Times New Roman"/>
                <w:b/>
                <w:bCs/>
                <w:lang w:val="en-GB" w:eastAsia="en-GB"/>
              </w:rPr>
            </w:pPr>
            <w:r w:rsidRPr="00E936C6">
              <w:rPr>
                <w:rFonts w:ascii="Times New Roman" w:eastAsia="Times New Roman" w:hAnsi="Times New Roman" w:cs="Times New Roman"/>
                <w:b/>
                <w:bCs/>
                <w:lang w:val="en-GB" w:eastAsia="en-GB"/>
              </w:rPr>
              <w:t>Node / Area</w:t>
            </w:r>
          </w:p>
        </w:tc>
        <w:tc>
          <w:tcPr>
            <w:tcW w:w="0" w:type="auto"/>
            <w:hideMark/>
          </w:tcPr>
          <w:p w14:paraId="1650679A" w14:textId="77777777" w:rsidR="009F7C06" w:rsidRPr="00E936C6" w:rsidRDefault="009F7C06" w:rsidP="0096271C">
            <w:pPr>
              <w:spacing w:line="276" w:lineRule="auto"/>
              <w:jc w:val="center"/>
              <w:rPr>
                <w:rFonts w:ascii="Times New Roman" w:eastAsia="Times New Roman" w:hAnsi="Times New Roman" w:cs="Times New Roman"/>
                <w:b/>
                <w:bCs/>
                <w:lang w:val="en-GB" w:eastAsia="en-GB"/>
              </w:rPr>
            </w:pPr>
            <w:r w:rsidRPr="00E936C6">
              <w:rPr>
                <w:rFonts w:ascii="Times New Roman" w:eastAsia="Times New Roman" w:hAnsi="Times New Roman" w:cs="Times New Roman"/>
                <w:b/>
                <w:bCs/>
                <w:lang w:val="en-GB" w:eastAsia="en-GB"/>
              </w:rPr>
              <w:t>Main Functions</w:t>
            </w:r>
          </w:p>
        </w:tc>
        <w:tc>
          <w:tcPr>
            <w:tcW w:w="0" w:type="auto"/>
            <w:hideMark/>
          </w:tcPr>
          <w:p w14:paraId="25A331D3" w14:textId="77777777" w:rsidR="009F7C06" w:rsidRPr="00E936C6" w:rsidRDefault="009F7C06" w:rsidP="0096271C">
            <w:pPr>
              <w:spacing w:line="276" w:lineRule="auto"/>
              <w:jc w:val="center"/>
              <w:rPr>
                <w:rFonts w:ascii="Times New Roman" w:eastAsia="Times New Roman" w:hAnsi="Times New Roman" w:cs="Times New Roman"/>
                <w:b/>
                <w:bCs/>
                <w:lang w:val="en-GB" w:eastAsia="en-GB"/>
              </w:rPr>
            </w:pPr>
            <w:r w:rsidRPr="00E936C6">
              <w:rPr>
                <w:rFonts w:ascii="Times New Roman" w:eastAsia="Times New Roman" w:hAnsi="Times New Roman" w:cs="Times New Roman"/>
                <w:b/>
                <w:bCs/>
                <w:lang w:val="en-GB" w:eastAsia="en-GB"/>
              </w:rPr>
              <w:t>Dominant Economic Activities</w:t>
            </w:r>
          </w:p>
        </w:tc>
        <w:tc>
          <w:tcPr>
            <w:tcW w:w="0" w:type="auto"/>
            <w:hideMark/>
          </w:tcPr>
          <w:p w14:paraId="00BB2BF2" w14:textId="77777777" w:rsidR="009F7C06" w:rsidRPr="00E936C6" w:rsidRDefault="009F7C06" w:rsidP="0096271C">
            <w:pPr>
              <w:spacing w:line="276" w:lineRule="auto"/>
              <w:jc w:val="center"/>
              <w:rPr>
                <w:rFonts w:ascii="Times New Roman" w:eastAsia="Times New Roman" w:hAnsi="Times New Roman" w:cs="Times New Roman"/>
                <w:b/>
                <w:bCs/>
                <w:lang w:val="en-GB" w:eastAsia="en-GB"/>
              </w:rPr>
            </w:pPr>
            <w:r w:rsidRPr="00E936C6">
              <w:rPr>
                <w:rFonts w:ascii="Times New Roman" w:eastAsia="Times New Roman" w:hAnsi="Times New Roman" w:cs="Times New Roman"/>
                <w:b/>
                <w:bCs/>
                <w:lang w:val="en-GB" w:eastAsia="en-GB"/>
              </w:rPr>
              <w:t>Seasonality Level</w:t>
            </w:r>
          </w:p>
        </w:tc>
        <w:tc>
          <w:tcPr>
            <w:tcW w:w="0" w:type="auto"/>
            <w:hideMark/>
          </w:tcPr>
          <w:p w14:paraId="2791908C" w14:textId="77777777" w:rsidR="009F7C06" w:rsidRPr="00E936C6" w:rsidRDefault="009F7C06" w:rsidP="0096271C">
            <w:pPr>
              <w:spacing w:line="276" w:lineRule="auto"/>
              <w:jc w:val="center"/>
              <w:rPr>
                <w:rFonts w:ascii="Times New Roman" w:eastAsia="Times New Roman" w:hAnsi="Times New Roman" w:cs="Times New Roman"/>
                <w:b/>
                <w:bCs/>
                <w:lang w:val="en-GB" w:eastAsia="en-GB"/>
              </w:rPr>
            </w:pPr>
            <w:r w:rsidRPr="00E936C6">
              <w:rPr>
                <w:rFonts w:ascii="Times New Roman" w:eastAsia="Times New Roman" w:hAnsi="Times New Roman" w:cs="Times New Roman"/>
                <w:b/>
                <w:bCs/>
                <w:lang w:val="en-GB" w:eastAsia="en-GB"/>
              </w:rPr>
              <w:t>Infrastructure Condition</w:t>
            </w:r>
          </w:p>
        </w:tc>
        <w:tc>
          <w:tcPr>
            <w:tcW w:w="0" w:type="auto"/>
            <w:hideMark/>
          </w:tcPr>
          <w:p w14:paraId="16631617" w14:textId="77777777" w:rsidR="009F7C06" w:rsidRPr="00E936C6" w:rsidRDefault="009F7C06" w:rsidP="0096271C">
            <w:pPr>
              <w:spacing w:line="276" w:lineRule="auto"/>
              <w:jc w:val="center"/>
              <w:rPr>
                <w:rFonts w:ascii="Times New Roman" w:eastAsia="Times New Roman" w:hAnsi="Times New Roman" w:cs="Times New Roman"/>
                <w:b/>
                <w:bCs/>
                <w:lang w:val="en-GB" w:eastAsia="en-GB"/>
              </w:rPr>
            </w:pPr>
            <w:r w:rsidRPr="00E936C6">
              <w:rPr>
                <w:rFonts w:ascii="Times New Roman" w:eastAsia="Times New Roman" w:hAnsi="Times New Roman" w:cs="Times New Roman"/>
                <w:b/>
                <w:bCs/>
                <w:lang w:val="en-GB" w:eastAsia="en-GB"/>
              </w:rPr>
              <w:t>Role in Municipal System</w:t>
            </w:r>
          </w:p>
        </w:tc>
      </w:tr>
      <w:tr w:rsidR="009F7C06" w:rsidRPr="00E936C6" w14:paraId="79DA4F37" w14:textId="77777777" w:rsidTr="0096271C">
        <w:trPr>
          <w:jc w:val="center"/>
        </w:trPr>
        <w:tc>
          <w:tcPr>
            <w:tcW w:w="0" w:type="auto"/>
            <w:hideMark/>
          </w:tcPr>
          <w:p w14:paraId="7E6817E2"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Borjomi–Likani</w:t>
            </w:r>
          </w:p>
        </w:tc>
        <w:tc>
          <w:tcPr>
            <w:tcW w:w="0" w:type="auto"/>
            <w:hideMark/>
          </w:tcPr>
          <w:p w14:paraId="7A6931CF"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Administrative, health-tourism, services</w:t>
            </w:r>
          </w:p>
        </w:tc>
        <w:tc>
          <w:tcPr>
            <w:tcW w:w="0" w:type="auto"/>
            <w:hideMark/>
          </w:tcPr>
          <w:p w14:paraId="30A8C404"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Hospitality, public services, wellness tourism</w:t>
            </w:r>
          </w:p>
        </w:tc>
        <w:tc>
          <w:tcPr>
            <w:tcW w:w="0" w:type="auto"/>
            <w:hideMark/>
          </w:tcPr>
          <w:p w14:paraId="5574A3FF"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Moderate</w:t>
            </w:r>
          </w:p>
        </w:tc>
        <w:tc>
          <w:tcPr>
            <w:tcW w:w="0" w:type="auto"/>
            <w:hideMark/>
          </w:tcPr>
          <w:p w14:paraId="76C43F9B"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High</w:t>
            </w:r>
          </w:p>
        </w:tc>
        <w:tc>
          <w:tcPr>
            <w:tcW w:w="0" w:type="auto"/>
            <w:hideMark/>
          </w:tcPr>
          <w:p w14:paraId="61C91292"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Core urban and service hub</w:t>
            </w:r>
          </w:p>
        </w:tc>
      </w:tr>
      <w:tr w:rsidR="009F7C06" w:rsidRPr="00E936C6" w14:paraId="240C7A54" w14:textId="77777777" w:rsidTr="0096271C">
        <w:trPr>
          <w:jc w:val="center"/>
        </w:trPr>
        <w:tc>
          <w:tcPr>
            <w:tcW w:w="0" w:type="auto"/>
            <w:hideMark/>
          </w:tcPr>
          <w:p w14:paraId="471DEB90"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Bakuriani</w:t>
            </w:r>
          </w:p>
        </w:tc>
        <w:tc>
          <w:tcPr>
            <w:tcW w:w="0" w:type="auto"/>
            <w:hideMark/>
          </w:tcPr>
          <w:p w14:paraId="61E2D372"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Mountain resort, sports tourism</w:t>
            </w:r>
          </w:p>
        </w:tc>
        <w:tc>
          <w:tcPr>
            <w:tcW w:w="0" w:type="auto"/>
            <w:hideMark/>
          </w:tcPr>
          <w:p w14:paraId="55D697FA"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Hotels, rentals, winter sports industry</w:t>
            </w:r>
          </w:p>
        </w:tc>
        <w:tc>
          <w:tcPr>
            <w:tcW w:w="0" w:type="auto"/>
            <w:hideMark/>
          </w:tcPr>
          <w:p w14:paraId="24912A50"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Very high (winter peak)</w:t>
            </w:r>
          </w:p>
        </w:tc>
        <w:tc>
          <w:tcPr>
            <w:tcW w:w="0" w:type="auto"/>
            <w:hideMark/>
          </w:tcPr>
          <w:p w14:paraId="70110664"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Developed but overloaded in peak periods</w:t>
            </w:r>
          </w:p>
        </w:tc>
        <w:tc>
          <w:tcPr>
            <w:tcW w:w="0" w:type="auto"/>
            <w:hideMark/>
          </w:tcPr>
          <w:p w14:paraId="582F2788"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Secondary center with growing investment demand</w:t>
            </w:r>
          </w:p>
        </w:tc>
      </w:tr>
      <w:tr w:rsidR="009F7C06" w:rsidRPr="00E936C6" w14:paraId="6D6B08F7" w14:textId="77777777" w:rsidTr="0096271C">
        <w:trPr>
          <w:jc w:val="center"/>
        </w:trPr>
        <w:tc>
          <w:tcPr>
            <w:tcW w:w="0" w:type="auto"/>
            <w:hideMark/>
          </w:tcPr>
          <w:p w14:paraId="0DBDADE7"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lastRenderedPageBreak/>
              <w:t>Seasonal Villages</w:t>
            </w:r>
          </w:p>
        </w:tc>
        <w:tc>
          <w:tcPr>
            <w:tcW w:w="0" w:type="auto"/>
            <w:hideMark/>
          </w:tcPr>
          <w:p w14:paraId="40C53209"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Rural tourism, summer recreation</w:t>
            </w:r>
          </w:p>
        </w:tc>
        <w:tc>
          <w:tcPr>
            <w:tcW w:w="0" w:type="auto"/>
            <w:hideMark/>
          </w:tcPr>
          <w:p w14:paraId="681D692B"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Guesthouses, small-scale services</w:t>
            </w:r>
          </w:p>
        </w:tc>
        <w:tc>
          <w:tcPr>
            <w:tcW w:w="0" w:type="auto"/>
            <w:hideMark/>
          </w:tcPr>
          <w:p w14:paraId="4B589806"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High (summer peak, winter drop)</w:t>
            </w:r>
          </w:p>
        </w:tc>
        <w:tc>
          <w:tcPr>
            <w:tcW w:w="0" w:type="auto"/>
            <w:hideMark/>
          </w:tcPr>
          <w:p w14:paraId="20CCEC42"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Low to medium</w:t>
            </w:r>
          </w:p>
        </w:tc>
        <w:tc>
          <w:tcPr>
            <w:tcW w:w="0" w:type="auto"/>
            <w:hideMark/>
          </w:tcPr>
          <w:p w14:paraId="70905DCA" w14:textId="77777777" w:rsidR="009F7C06" w:rsidRPr="00E936C6" w:rsidRDefault="009F7C06" w:rsidP="0096271C">
            <w:pPr>
              <w:spacing w:line="276" w:lineRule="auto"/>
              <w:rPr>
                <w:rFonts w:ascii="Times New Roman" w:eastAsia="Times New Roman" w:hAnsi="Times New Roman" w:cs="Times New Roman"/>
                <w:lang w:val="en-GB" w:eastAsia="en-GB"/>
              </w:rPr>
            </w:pPr>
            <w:r w:rsidRPr="00E936C6">
              <w:rPr>
                <w:rFonts w:ascii="Times New Roman" w:eastAsia="Times New Roman" w:hAnsi="Times New Roman" w:cs="Times New Roman"/>
                <w:lang w:val="en-GB" w:eastAsia="en-GB"/>
              </w:rPr>
              <w:t>Peripheral settlements dependent on core nodes</w:t>
            </w:r>
          </w:p>
        </w:tc>
      </w:tr>
    </w:tbl>
    <w:p w14:paraId="3E43CBDD" w14:textId="0192BEA5" w:rsidR="009F7C06" w:rsidRPr="00E936C6" w:rsidRDefault="009F7C06" w:rsidP="0096271C">
      <w:pPr>
        <w:pStyle w:val="Heading2"/>
        <w:spacing w:before="0"/>
        <w:ind w:firstLine="720"/>
        <w:jc w:val="both"/>
        <w:rPr>
          <w:rFonts w:ascii="Times New Roman" w:eastAsiaTheme="minorEastAsia" w:hAnsi="Times New Roman" w:cs="Times New Roman"/>
          <w:b w:val="0"/>
          <w:bCs w:val="0"/>
          <w:color w:val="auto"/>
          <w:sz w:val="22"/>
          <w:szCs w:val="22"/>
        </w:rPr>
      </w:pPr>
      <w:r w:rsidRPr="00E936C6">
        <w:rPr>
          <w:rFonts w:ascii="Times New Roman" w:eastAsiaTheme="minorEastAsia" w:hAnsi="Times New Roman" w:cs="Times New Roman"/>
          <w:color w:val="auto"/>
          <w:sz w:val="22"/>
          <w:szCs w:val="22"/>
        </w:rPr>
        <w:t xml:space="preserve">Functional Linkages, Mobility Patterns, and Spatial Interactions </w:t>
      </w:r>
      <w:r w:rsidR="003136D6">
        <w:rPr>
          <w:rFonts w:ascii="Times New Roman" w:eastAsiaTheme="minorEastAsia" w:hAnsi="Times New Roman" w:cs="Times New Roman"/>
          <w:color w:val="auto"/>
          <w:sz w:val="22"/>
          <w:szCs w:val="22"/>
        </w:rPr>
        <w:t>-</w:t>
      </w:r>
      <w:r w:rsidRPr="00E936C6">
        <w:rPr>
          <w:rFonts w:ascii="Times New Roman" w:eastAsiaTheme="minorEastAsia" w:hAnsi="Times New Roman" w:cs="Times New Roman"/>
          <w:b w:val="0"/>
          <w:color w:val="auto"/>
          <w:sz w:val="22"/>
          <w:szCs w:val="22"/>
        </w:rPr>
        <w:t xml:space="preserve"> The research highlights substantial disparities in the strength and direction of functional linkages among the nodes:</w:t>
      </w:r>
    </w:p>
    <w:p w14:paraId="49F0B8EC" w14:textId="17D85562" w:rsidR="009F7C06" w:rsidRPr="00E936C6" w:rsidRDefault="009F7C06" w:rsidP="006872EB">
      <w:pPr>
        <w:pStyle w:val="NormalWeb"/>
        <w:numPr>
          <w:ilvl w:val="0"/>
          <w:numId w:val="13"/>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Borjomi–Bakuriani mobility flows are strong but highly seasonal</w:t>
      </w:r>
      <w:r w:rsidRPr="00E936C6">
        <w:rPr>
          <w:rFonts w:eastAsiaTheme="minorEastAsia"/>
          <w:sz w:val="22"/>
          <w:szCs w:val="22"/>
        </w:rPr>
        <w:t>, reflecting the tourism calendar and road accessibility</w:t>
      </w:r>
      <w:r w:rsidR="00F47271">
        <w:rPr>
          <w:rFonts w:eastAsiaTheme="minorEastAsia"/>
          <w:sz w:val="22"/>
          <w:szCs w:val="22"/>
        </w:rPr>
        <w:t>;</w:t>
      </w:r>
    </w:p>
    <w:p w14:paraId="32F31532" w14:textId="6324B8D6" w:rsidR="009F7C06" w:rsidRPr="00E936C6" w:rsidRDefault="009F7C06" w:rsidP="006872EB">
      <w:pPr>
        <w:pStyle w:val="NormalWeb"/>
        <w:numPr>
          <w:ilvl w:val="0"/>
          <w:numId w:val="13"/>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Corridor villages benefit from transit flows</w:t>
      </w:r>
      <w:r w:rsidRPr="00E936C6">
        <w:rPr>
          <w:rFonts w:eastAsiaTheme="minorEastAsia"/>
          <w:sz w:val="22"/>
          <w:szCs w:val="22"/>
        </w:rPr>
        <w:t xml:space="preserve">, but their economic engagement remains marginal due to </w:t>
      </w:r>
      <w:r w:rsidR="003136D6" w:rsidRPr="00E936C6">
        <w:rPr>
          <w:rFonts w:eastAsiaTheme="minorEastAsia"/>
          <w:sz w:val="22"/>
          <w:szCs w:val="22"/>
        </w:rPr>
        <w:t>limited-service</w:t>
      </w:r>
      <w:r w:rsidRPr="00E936C6">
        <w:rPr>
          <w:rFonts w:eastAsiaTheme="minorEastAsia"/>
          <w:sz w:val="22"/>
          <w:szCs w:val="22"/>
        </w:rPr>
        <w:t xml:space="preserve"> diversification</w:t>
      </w:r>
      <w:r w:rsidR="00F47271">
        <w:rPr>
          <w:rFonts w:eastAsiaTheme="minorEastAsia"/>
          <w:sz w:val="22"/>
          <w:szCs w:val="22"/>
        </w:rPr>
        <w:t>;</w:t>
      </w:r>
    </w:p>
    <w:p w14:paraId="3280E260" w14:textId="63110522" w:rsidR="009F7C06" w:rsidRPr="00E936C6" w:rsidRDefault="009F7C06" w:rsidP="006872EB">
      <w:pPr>
        <w:pStyle w:val="NormalWeb"/>
        <w:numPr>
          <w:ilvl w:val="0"/>
          <w:numId w:val="13"/>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Backward linkages between tourism enterprises and rural producers are weak</w:t>
      </w:r>
      <w:r w:rsidRPr="00E936C6">
        <w:rPr>
          <w:rFonts w:eastAsiaTheme="minorEastAsia"/>
          <w:sz w:val="22"/>
          <w:szCs w:val="22"/>
        </w:rPr>
        <w:t>, diminishing potential multiplier effects within the municipality</w:t>
      </w:r>
      <w:r w:rsidR="00F47271">
        <w:rPr>
          <w:rFonts w:eastAsiaTheme="minorEastAsia"/>
          <w:sz w:val="22"/>
          <w:szCs w:val="22"/>
        </w:rPr>
        <w:t>;</w:t>
      </w:r>
    </w:p>
    <w:p w14:paraId="15795418" w14:textId="77777777" w:rsidR="009F7C06" w:rsidRPr="00E936C6" w:rsidRDefault="009F7C06" w:rsidP="006872EB">
      <w:pPr>
        <w:pStyle w:val="NormalWeb"/>
        <w:numPr>
          <w:ilvl w:val="0"/>
          <w:numId w:val="13"/>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Infrastructure quality and winter road conditions</w:t>
      </w:r>
      <w:r w:rsidRPr="00E936C6">
        <w:rPr>
          <w:rFonts w:eastAsiaTheme="minorEastAsia"/>
          <w:sz w:val="22"/>
          <w:szCs w:val="22"/>
        </w:rPr>
        <w:t xml:space="preserve"> significantly influence the fluidity of spatial interactions, particularly between Bakuriani and smaller villages.</w:t>
      </w:r>
    </w:p>
    <w:p w14:paraId="6A9BE0AD" w14:textId="77777777"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These patterns underline that spatial proximity does not automatically translate into functional integration—connectivity, economic incentives, and institutional support play decisive roles.</w:t>
      </w:r>
    </w:p>
    <w:p w14:paraId="79074362" w14:textId="77777777" w:rsidR="009F7C06" w:rsidRPr="00E936C6" w:rsidRDefault="009F7C06" w:rsidP="0096271C">
      <w:pPr>
        <w:pStyle w:val="Heading2"/>
        <w:spacing w:before="0"/>
        <w:ind w:firstLine="720"/>
        <w:jc w:val="both"/>
        <w:rPr>
          <w:rFonts w:ascii="Times New Roman" w:eastAsiaTheme="minorEastAsia" w:hAnsi="Times New Roman" w:cs="Times New Roman"/>
          <w:b w:val="0"/>
          <w:bCs w:val="0"/>
          <w:color w:val="auto"/>
          <w:sz w:val="22"/>
          <w:szCs w:val="22"/>
        </w:rPr>
      </w:pPr>
      <w:r w:rsidRPr="00E936C6">
        <w:rPr>
          <w:rFonts w:ascii="Times New Roman" w:eastAsiaTheme="minorEastAsia" w:hAnsi="Times New Roman" w:cs="Times New Roman"/>
          <w:color w:val="auto"/>
          <w:sz w:val="22"/>
          <w:szCs w:val="22"/>
        </w:rPr>
        <w:t>Structural Challenges to Balanced Spatial Development</w:t>
      </w:r>
      <w:r w:rsidRPr="00E936C6">
        <w:rPr>
          <w:rFonts w:ascii="Times New Roman" w:eastAsiaTheme="minorEastAsia" w:hAnsi="Times New Roman" w:cs="Times New Roman"/>
          <w:b w:val="0"/>
          <w:color w:val="auto"/>
          <w:sz w:val="22"/>
          <w:szCs w:val="22"/>
        </w:rPr>
        <w:t xml:space="preserve"> - </w:t>
      </w:r>
      <w:r w:rsidRPr="00E936C6">
        <w:rPr>
          <w:rFonts w:ascii="Times New Roman" w:eastAsiaTheme="minorEastAsia" w:hAnsi="Times New Roman" w:cs="Times New Roman"/>
          <w:b w:val="0"/>
          <w:bCs w:val="0"/>
          <w:color w:val="auto"/>
          <w:sz w:val="22"/>
          <w:szCs w:val="22"/>
        </w:rPr>
        <w:t>The analysis identifies several structural barriers that hinder balanced development across the municipality:</w:t>
      </w:r>
    </w:p>
    <w:p w14:paraId="26B0EE14" w14:textId="6DB13A7C" w:rsidR="009F7C06" w:rsidRPr="00E936C6" w:rsidRDefault="009F7C06" w:rsidP="006872EB">
      <w:pPr>
        <w:pStyle w:val="NormalWeb"/>
        <w:numPr>
          <w:ilvl w:val="0"/>
          <w:numId w:val="14"/>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Strong dependence on tourism and narrow functional specialization</w:t>
      </w:r>
      <w:r w:rsidRPr="00E936C6">
        <w:rPr>
          <w:rFonts w:eastAsiaTheme="minorEastAsia"/>
          <w:sz w:val="22"/>
          <w:szCs w:val="22"/>
        </w:rPr>
        <w:t xml:space="preserve"> creat</w:t>
      </w:r>
      <w:r w:rsidR="006872EB">
        <w:rPr>
          <w:rFonts w:eastAsiaTheme="minorEastAsia"/>
          <w:sz w:val="22"/>
          <w:szCs w:val="22"/>
        </w:rPr>
        <w:t>e</w:t>
      </w:r>
      <w:r w:rsidRPr="00E936C6">
        <w:rPr>
          <w:rFonts w:eastAsiaTheme="minorEastAsia"/>
          <w:sz w:val="22"/>
          <w:szCs w:val="22"/>
        </w:rPr>
        <w:t xml:space="preserve"> vulnerability to seasonal and external shocks</w:t>
      </w:r>
      <w:r w:rsidR="00756A04">
        <w:rPr>
          <w:rFonts w:eastAsiaTheme="minorEastAsia"/>
          <w:sz w:val="22"/>
          <w:szCs w:val="22"/>
        </w:rPr>
        <w:t>;</w:t>
      </w:r>
    </w:p>
    <w:p w14:paraId="6CAA4942" w14:textId="61616E1E" w:rsidR="009F7C06" w:rsidRPr="00E936C6" w:rsidRDefault="009F7C06" w:rsidP="006872EB">
      <w:pPr>
        <w:pStyle w:val="NormalWeb"/>
        <w:numPr>
          <w:ilvl w:val="0"/>
          <w:numId w:val="14"/>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Insufficient year-round employment opportunities</w:t>
      </w:r>
      <w:r w:rsidRPr="00E936C6">
        <w:rPr>
          <w:rFonts w:eastAsiaTheme="minorEastAsia"/>
          <w:sz w:val="22"/>
          <w:szCs w:val="22"/>
        </w:rPr>
        <w:t xml:space="preserve"> outside Borjomi–Likani, contributing to labor out-migration</w:t>
      </w:r>
      <w:r w:rsidR="00756A04">
        <w:rPr>
          <w:rFonts w:eastAsiaTheme="minorEastAsia"/>
          <w:sz w:val="22"/>
          <w:szCs w:val="22"/>
        </w:rPr>
        <w:t>;</w:t>
      </w:r>
    </w:p>
    <w:p w14:paraId="5BC95A91" w14:textId="7E3AA0C7" w:rsidR="009F7C06" w:rsidRPr="00E936C6" w:rsidRDefault="009F7C06" w:rsidP="006872EB">
      <w:pPr>
        <w:pStyle w:val="NormalWeb"/>
        <w:numPr>
          <w:ilvl w:val="0"/>
          <w:numId w:val="14"/>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Demographic pressures</w:t>
      </w:r>
      <w:r w:rsidRPr="00E936C6">
        <w:rPr>
          <w:rFonts w:eastAsiaTheme="minorEastAsia"/>
          <w:sz w:val="22"/>
          <w:szCs w:val="22"/>
        </w:rPr>
        <w:t>, including seasonal depopulation and long-term population decline in smaller settlements</w:t>
      </w:r>
      <w:r w:rsidR="00756A04">
        <w:rPr>
          <w:rFonts w:eastAsiaTheme="minorEastAsia"/>
          <w:sz w:val="22"/>
          <w:szCs w:val="22"/>
        </w:rPr>
        <w:t>;</w:t>
      </w:r>
    </w:p>
    <w:p w14:paraId="56A4549A" w14:textId="1A15B779" w:rsidR="009F7C06" w:rsidRPr="00E936C6" w:rsidRDefault="009F7C06" w:rsidP="006872EB">
      <w:pPr>
        <w:pStyle w:val="NormalWeb"/>
        <w:numPr>
          <w:ilvl w:val="0"/>
          <w:numId w:val="14"/>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Fragmented territorial planning processes</w:t>
      </w:r>
      <w:r w:rsidRPr="00E936C6">
        <w:rPr>
          <w:rFonts w:eastAsiaTheme="minorEastAsia"/>
          <w:sz w:val="22"/>
          <w:szCs w:val="22"/>
        </w:rPr>
        <w:t xml:space="preserve"> often lack strategic coordination between economic, tourism, and spatial development policies</w:t>
      </w:r>
      <w:r w:rsidR="00756A04">
        <w:rPr>
          <w:rFonts w:eastAsiaTheme="minorEastAsia"/>
          <w:sz w:val="22"/>
          <w:szCs w:val="22"/>
        </w:rPr>
        <w:t>;</w:t>
      </w:r>
    </w:p>
    <w:p w14:paraId="794E6F4F" w14:textId="16F8B5FB" w:rsidR="009F7C06" w:rsidRPr="00E936C6" w:rsidRDefault="009F7C06" w:rsidP="006872EB">
      <w:pPr>
        <w:pStyle w:val="NormalWeb"/>
        <w:numPr>
          <w:ilvl w:val="0"/>
          <w:numId w:val="14"/>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bCs/>
          <w:sz w:val="22"/>
          <w:szCs w:val="22"/>
        </w:rPr>
        <w:t>Weak integration of rural production systems into urban tourism markets</w:t>
      </w:r>
      <w:r w:rsidRPr="00E936C6">
        <w:rPr>
          <w:rFonts w:eastAsiaTheme="minorEastAsia"/>
          <w:sz w:val="22"/>
          <w:szCs w:val="22"/>
        </w:rPr>
        <w:t xml:space="preserve"> </w:t>
      </w:r>
      <w:r w:rsidR="006872EB">
        <w:rPr>
          <w:rFonts w:eastAsiaTheme="minorEastAsia"/>
          <w:sz w:val="22"/>
          <w:szCs w:val="22"/>
        </w:rPr>
        <w:t xml:space="preserve">is </w:t>
      </w:r>
      <w:r w:rsidRPr="00E936C6">
        <w:rPr>
          <w:rFonts w:eastAsiaTheme="minorEastAsia"/>
          <w:sz w:val="22"/>
          <w:szCs w:val="22"/>
        </w:rPr>
        <w:t>limiting the emergence of local value chains.</w:t>
      </w:r>
    </w:p>
    <w:p w14:paraId="511121F5" w14:textId="391FFA31"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These challenges collectively constrain the municipality</w:t>
      </w:r>
      <w:r w:rsidR="0070015C">
        <w:rPr>
          <w:rFonts w:eastAsiaTheme="minorEastAsia"/>
          <w:sz w:val="22"/>
          <w:szCs w:val="22"/>
        </w:rPr>
        <w:t>’</w:t>
      </w:r>
      <w:r w:rsidRPr="00E936C6">
        <w:rPr>
          <w:rFonts w:eastAsiaTheme="minorEastAsia"/>
          <w:sz w:val="22"/>
          <w:szCs w:val="22"/>
        </w:rPr>
        <w:t>s ability to strengthen its polycentric structure and develop resilient functional zones.</w:t>
      </w:r>
    </w:p>
    <w:p w14:paraId="63724E62" w14:textId="77777777" w:rsidR="006872EB" w:rsidRDefault="006872EB" w:rsidP="0096271C">
      <w:pPr>
        <w:pStyle w:val="NormalWeb"/>
        <w:spacing w:before="0" w:beforeAutospacing="0" w:after="0" w:afterAutospacing="0" w:line="276" w:lineRule="auto"/>
        <w:jc w:val="both"/>
        <w:rPr>
          <w:rFonts w:eastAsiaTheme="minorEastAsia"/>
          <w:b/>
          <w:sz w:val="22"/>
          <w:szCs w:val="22"/>
        </w:rPr>
      </w:pPr>
    </w:p>
    <w:p w14:paraId="1950A260" w14:textId="75309287" w:rsidR="009F7C06" w:rsidRPr="00E936C6" w:rsidRDefault="009F7C06" w:rsidP="0096271C">
      <w:pPr>
        <w:pStyle w:val="NormalWeb"/>
        <w:spacing w:before="0" w:beforeAutospacing="0" w:after="0" w:afterAutospacing="0" w:line="276" w:lineRule="auto"/>
        <w:jc w:val="both"/>
        <w:rPr>
          <w:rFonts w:eastAsiaTheme="minorEastAsia"/>
          <w:b/>
          <w:sz w:val="22"/>
          <w:szCs w:val="22"/>
        </w:rPr>
      </w:pPr>
      <w:r w:rsidRPr="00E936C6">
        <w:rPr>
          <w:rFonts w:eastAsiaTheme="minorEastAsia"/>
          <w:b/>
          <w:sz w:val="22"/>
          <w:szCs w:val="22"/>
        </w:rPr>
        <w:t>Conclusion</w:t>
      </w:r>
    </w:p>
    <w:p w14:paraId="457205B5" w14:textId="6D4EB229" w:rsidR="009F7C06" w:rsidRPr="00E936C6" w:rsidRDefault="009F7C06" w:rsidP="0096271C">
      <w:pPr>
        <w:pStyle w:val="NormalWeb"/>
        <w:spacing w:before="0" w:beforeAutospacing="0" w:after="0" w:afterAutospacing="0" w:line="276" w:lineRule="auto"/>
        <w:ind w:firstLine="720"/>
        <w:jc w:val="both"/>
        <w:rPr>
          <w:rFonts w:eastAsiaTheme="minorEastAsia"/>
          <w:b/>
          <w:sz w:val="22"/>
          <w:szCs w:val="22"/>
        </w:rPr>
      </w:pPr>
      <w:r w:rsidRPr="00E936C6">
        <w:rPr>
          <w:rFonts w:eastAsiaTheme="minorEastAsia"/>
          <w:sz w:val="22"/>
          <w:szCs w:val="22"/>
        </w:rPr>
        <w:t>The research demonstrates that Borjomi Municipality</w:t>
      </w:r>
      <w:r w:rsidR="0070015C">
        <w:rPr>
          <w:rFonts w:eastAsiaTheme="minorEastAsia"/>
          <w:sz w:val="22"/>
          <w:szCs w:val="22"/>
        </w:rPr>
        <w:t>’</w:t>
      </w:r>
      <w:r w:rsidRPr="00E936C6">
        <w:rPr>
          <w:rFonts w:eastAsiaTheme="minorEastAsia"/>
          <w:sz w:val="22"/>
          <w:szCs w:val="22"/>
        </w:rPr>
        <w:t>s development trajectory is fundamentally shaped by its polycentric but asymmetrical spatial structure, where three dominant nodes—Borjomi–Likani, Bakuriani, and the seasonal corridor villages—perform distinct and unequally developed functions. Field observations, interviews, and comparative spatial analysis reveal that while the municipality possesses strong tourism assets and significant economic potential, these benefits are distributed unevenly across the territory. Borjomi–Likani functions as a consolidated year-round administrative and service center, while Bakuriani has evolved into a rapidly transforming, investment-driven mountain resort with strong winter specialization. In contrast, the corridor villages remain structurally peripheral, with livelihoods tied to highly seasonal demand and insufficient integration into municipal development processes.</w:t>
      </w:r>
    </w:p>
    <w:p w14:paraId="4251B982" w14:textId="77777777"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Seasonality emerged as the most influential factor shaping economic activity, mobility patterns, and household strategies. Divergent seasonal cycles between Borjomi–Likani (summer peak) and Bakuriani (winter peak) create temporal fragmentation within the municipality, limiting opportunities for stable year-round employment and reinforcing dependency on short peak periods. This, in turn, contributes to temporary migration, income volatility, and uneven service provision. Furthermore, the research highlights a major structural challenge: the weak integration of local agricultural producers into tourism-sector value chains. Despite strong theoretical potential for rural–urban economic synergies, empirical evidence shows persistent logistical, quality-standard, and institutional gaps that prevent local producers from supplying hotels and restaurants in either main node.</w:t>
      </w:r>
    </w:p>
    <w:p w14:paraId="54469860" w14:textId="0077DDB3"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lastRenderedPageBreak/>
        <w:t>The findings also reveal that functional linkages between nodes—although geographically proximate—are insufficiently coordinated. Transport connectivity, road quality, and winter accessibility affect mobility patterns, while fragmented planning processes and limited inter-sectoral coordination weaken opportunities for integrated spatial development. Together, these dynamics underscore that Borjomi</w:t>
      </w:r>
      <w:r w:rsidR="0070015C">
        <w:rPr>
          <w:rFonts w:eastAsiaTheme="minorEastAsia"/>
          <w:sz w:val="22"/>
          <w:szCs w:val="22"/>
        </w:rPr>
        <w:t>’</w:t>
      </w:r>
      <w:r w:rsidRPr="00E936C6">
        <w:rPr>
          <w:rFonts w:eastAsiaTheme="minorEastAsia"/>
          <w:sz w:val="22"/>
          <w:szCs w:val="22"/>
        </w:rPr>
        <w:t>s current spatial configuration is neither fully cohesive nor economically optimized. Strengthening polycentricity therefore requires more than the existence of multiple nodes—it requires policy instruments that enhance their complementarities, reduce disparities, and support functional diversification across the municipality.</w:t>
      </w:r>
    </w:p>
    <w:p w14:paraId="33508726" w14:textId="77777777"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Overall, the study contributes to regional development literature by empirically illustrating how spatial organization, functional specialization, and seasonality jointly produce uneven development outcomes in mountainous municipalities. A place-based, polycentric planning approach presents a viable path forward, but only if supported by targeted interventions that address structural constraints and promote more balanced territorial development.</w:t>
      </w:r>
    </w:p>
    <w:p w14:paraId="719C29C3" w14:textId="77777777" w:rsidR="006872EB" w:rsidRDefault="006872EB" w:rsidP="0096271C">
      <w:pPr>
        <w:pStyle w:val="NormalWeb"/>
        <w:spacing w:before="0" w:beforeAutospacing="0" w:after="0" w:afterAutospacing="0" w:line="276" w:lineRule="auto"/>
        <w:jc w:val="both"/>
        <w:rPr>
          <w:rFonts w:eastAsiaTheme="minorEastAsia"/>
          <w:b/>
          <w:sz w:val="22"/>
          <w:szCs w:val="22"/>
        </w:rPr>
      </w:pPr>
    </w:p>
    <w:p w14:paraId="7AF3C192" w14:textId="77777777" w:rsidR="000E6456" w:rsidRDefault="000E6456" w:rsidP="0096271C">
      <w:pPr>
        <w:pStyle w:val="NormalWeb"/>
        <w:spacing w:before="0" w:beforeAutospacing="0" w:after="0" w:afterAutospacing="0" w:line="276" w:lineRule="auto"/>
        <w:jc w:val="both"/>
        <w:rPr>
          <w:rFonts w:eastAsiaTheme="minorEastAsia"/>
          <w:b/>
          <w:sz w:val="22"/>
          <w:szCs w:val="22"/>
        </w:rPr>
      </w:pPr>
    </w:p>
    <w:p w14:paraId="335D8257" w14:textId="255CBBC5" w:rsidR="009F7C06" w:rsidRPr="00E936C6" w:rsidRDefault="009F7C06" w:rsidP="0096271C">
      <w:pPr>
        <w:pStyle w:val="NormalWeb"/>
        <w:spacing w:before="0" w:beforeAutospacing="0" w:after="0" w:afterAutospacing="0" w:line="276" w:lineRule="auto"/>
        <w:jc w:val="both"/>
        <w:rPr>
          <w:rFonts w:eastAsiaTheme="minorEastAsia"/>
          <w:b/>
          <w:sz w:val="22"/>
          <w:szCs w:val="22"/>
        </w:rPr>
      </w:pPr>
      <w:r w:rsidRPr="00E936C6">
        <w:rPr>
          <w:rFonts w:eastAsiaTheme="minorEastAsia"/>
          <w:b/>
          <w:sz w:val="22"/>
          <w:szCs w:val="22"/>
        </w:rPr>
        <w:t>Recommendations</w:t>
      </w:r>
    </w:p>
    <w:p w14:paraId="255E0CAA" w14:textId="6BD05316" w:rsidR="009F7C06" w:rsidRPr="00E936C6" w:rsidRDefault="009F7C06" w:rsidP="0096271C">
      <w:pPr>
        <w:pStyle w:val="NormalWeb"/>
        <w:spacing w:before="0" w:beforeAutospacing="0" w:after="0" w:afterAutospacing="0" w:line="276" w:lineRule="auto"/>
        <w:ind w:firstLine="720"/>
        <w:jc w:val="both"/>
        <w:rPr>
          <w:rFonts w:eastAsiaTheme="minorEastAsia"/>
          <w:sz w:val="22"/>
          <w:szCs w:val="22"/>
        </w:rPr>
      </w:pPr>
      <w:r w:rsidRPr="00E936C6">
        <w:rPr>
          <w:rFonts w:eastAsiaTheme="minorEastAsia"/>
          <w:sz w:val="22"/>
          <w:szCs w:val="22"/>
        </w:rPr>
        <w:t>Based on the research findings, several policy and planning recommendations emerge that could support more equitable and resilient spatial development in Borjomi Municipality. These recommendations emphasize the need for integrated territorial strategies, diversified economic functions, and strengthened local value chains</w:t>
      </w:r>
      <w:r w:rsidR="00EE3D14">
        <w:rPr>
          <w:rStyle w:val="FootnoteReference"/>
          <w:rFonts w:eastAsiaTheme="minorEastAsia"/>
          <w:sz w:val="22"/>
          <w:szCs w:val="22"/>
        </w:rPr>
        <w:footnoteReference w:id="14"/>
      </w:r>
      <w:r w:rsidRPr="00E936C6">
        <w:rPr>
          <w:rFonts w:eastAsiaTheme="minorEastAsia"/>
          <w:sz w:val="22"/>
          <w:szCs w:val="22"/>
        </w:rPr>
        <w:t>.</w:t>
      </w:r>
    </w:p>
    <w:p w14:paraId="24188D0F" w14:textId="77777777" w:rsidR="009F7C06" w:rsidRPr="00E936C6" w:rsidRDefault="009F7C06" w:rsidP="0096271C">
      <w:pPr>
        <w:pStyle w:val="Heading3"/>
        <w:spacing w:before="0"/>
        <w:ind w:firstLine="720"/>
        <w:jc w:val="both"/>
        <w:rPr>
          <w:rFonts w:ascii="Times New Roman" w:eastAsiaTheme="minorEastAsia" w:hAnsi="Times New Roman" w:cs="Times New Roman"/>
          <w:b w:val="0"/>
          <w:bCs w:val="0"/>
          <w:color w:val="auto"/>
          <w:sz w:val="22"/>
        </w:rPr>
      </w:pPr>
      <w:r w:rsidRPr="00E936C6">
        <w:rPr>
          <w:rFonts w:ascii="Times New Roman" w:eastAsiaTheme="minorEastAsia" w:hAnsi="Times New Roman" w:cs="Times New Roman"/>
          <w:color w:val="auto"/>
          <w:sz w:val="22"/>
        </w:rPr>
        <w:t xml:space="preserve">Strengthen Functional Polycentricity through Coordinated Spatial Planning - </w:t>
      </w:r>
      <w:r w:rsidRPr="00E936C6">
        <w:rPr>
          <w:rFonts w:ascii="Times New Roman" w:eastAsiaTheme="minorEastAsia" w:hAnsi="Times New Roman" w:cs="Times New Roman"/>
          <w:b w:val="0"/>
          <w:bCs w:val="0"/>
          <w:color w:val="auto"/>
          <w:sz w:val="22"/>
        </w:rPr>
        <w:t>The municipality should adopt a more explicit polycentric development framework, recognizing the differentiated roles of Borjomi–Likani, Bakuriani, and the corridor villages. Strategic spatial planning should ensure:</w:t>
      </w:r>
    </w:p>
    <w:p w14:paraId="5CE82DDF" w14:textId="77777777" w:rsidR="009F7C06" w:rsidRPr="00E936C6" w:rsidRDefault="009F7C06" w:rsidP="006872EB">
      <w:pPr>
        <w:pStyle w:val="NormalWeb"/>
        <w:numPr>
          <w:ilvl w:val="0"/>
          <w:numId w:val="15"/>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coordinated investments across nodes rather than isolated, project-based interventions;</w:t>
      </w:r>
    </w:p>
    <w:p w14:paraId="5234B168" w14:textId="77777777" w:rsidR="009F7C06" w:rsidRPr="00E936C6" w:rsidRDefault="009F7C06" w:rsidP="006872EB">
      <w:pPr>
        <w:pStyle w:val="NormalWeb"/>
        <w:numPr>
          <w:ilvl w:val="0"/>
          <w:numId w:val="15"/>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development of complementary functions rather than duplication of services;</w:t>
      </w:r>
    </w:p>
    <w:p w14:paraId="4A86C41D" w14:textId="77777777" w:rsidR="009F7C06" w:rsidRPr="00E936C6" w:rsidRDefault="009F7C06" w:rsidP="006872EB">
      <w:pPr>
        <w:pStyle w:val="NormalWeb"/>
        <w:numPr>
          <w:ilvl w:val="0"/>
          <w:numId w:val="15"/>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balanced allocation of infrastructure and public services to reduce peripheral disadvantage.</w:t>
      </w:r>
    </w:p>
    <w:p w14:paraId="2F1E6481" w14:textId="77777777" w:rsidR="009F7C06" w:rsidRPr="00E936C6" w:rsidRDefault="009F7C06" w:rsidP="0096271C">
      <w:pPr>
        <w:pStyle w:val="Heading3"/>
        <w:spacing w:before="0"/>
        <w:ind w:firstLine="720"/>
        <w:jc w:val="both"/>
        <w:rPr>
          <w:rFonts w:ascii="Times New Roman" w:eastAsiaTheme="minorEastAsia" w:hAnsi="Times New Roman" w:cs="Times New Roman"/>
          <w:b w:val="0"/>
          <w:bCs w:val="0"/>
          <w:color w:val="auto"/>
          <w:sz w:val="22"/>
        </w:rPr>
      </w:pPr>
      <w:r w:rsidRPr="00E936C6">
        <w:rPr>
          <w:rFonts w:ascii="Times New Roman" w:eastAsiaTheme="minorEastAsia" w:hAnsi="Times New Roman" w:cs="Times New Roman"/>
          <w:color w:val="auto"/>
          <w:sz w:val="22"/>
        </w:rPr>
        <w:t xml:space="preserve">Reduce Seasonal Vulnerability through Economic Diversification - </w:t>
      </w:r>
      <w:r w:rsidRPr="00E936C6">
        <w:rPr>
          <w:rFonts w:ascii="Times New Roman" w:eastAsiaTheme="minorEastAsia" w:hAnsi="Times New Roman" w:cs="Times New Roman"/>
          <w:b w:val="0"/>
          <w:bCs w:val="0"/>
          <w:color w:val="auto"/>
          <w:sz w:val="22"/>
        </w:rPr>
        <w:t>Given the dual and unaligned seasonal cycles, the municipality should promote activities capable of providing year-round income. This includes:</w:t>
      </w:r>
    </w:p>
    <w:p w14:paraId="3C0265C8" w14:textId="77777777" w:rsidR="009F7C06" w:rsidRPr="00E936C6" w:rsidRDefault="009F7C06" w:rsidP="006872EB">
      <w:pPr>
        <w:pStyle w:val="NormalWeb"/>
        <w:numPr>
          <w:ilvl w:val="0"/>
          <w:numId w:val="16"/>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expanding wellness, eco-tourism, and cultural tourism in Borjomi–Likani beyond peak periods;</w:t>
      </w:r>
    </w:p>
    <w:p w14:paraId="430776FB" w14:textId="77777777" w:rsidR="009F7C06" w:rsidRPr="00E936C6" w:rsidRDefault="009F7C06" w:rsidP="006872EB">
      <w:pPr>
        <w:pStyle w:val="NormalWeb"/>
        <w:numPr>
          <w:ilvl w:val="0"/>
          <w:numId w:val="16"/>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supporting off-season tourism offerings in Bakuriani to extend its economic calendar;</w:t>
      </w:r>
    </w:p>
    <w:p w14:paraId="106C6669" w14:textId="77777777" w:rsidR="009F7C06" w:rsidRPr="00E936C6" w:rsidRDefault="009F7C06" w:rsidP="006872EB">
      <w:pPr>
        <w:pStyle w:val="NormalWeb"/>
        <w:numPr>
          <w:ilvl w:val="0"/>
          <w:numId w:val="16"/>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incentivizing small-scale, experience-based tourism (e.g., agro-tourism, homestays) in corridor villages to stabilize local incomes.</w:t>
      </w:r>
    </w:p>
    <w:p w14:paraId="29A17ADA" w14:textId="77777777" w:rsidR="009F7C06" w:rsidRPr="00E936C6" w:rsidRDefault="009F7C06" w:rsidP="0096271C">
      <w:pPr>
        <w:pStyle w:val="Heading3"/>
        <w:spacing w:before="0"/>
        <w:ind w:firstLine="720"/>
        <w:jc w:val="both"/>
        <w:rPr>
          <w:rFonts w:ascii="Times New Roman" w:eastAsiaTheme="minorEastAsia" w:hAnsi="Times New Roman" w:cs="Times New Roman"/>
          <w:b w:val="0"/>
          <w:bCs w:val="0"/>
          <w:color w:val="auto"/>
          <w:sz w:val="22"/>
        </w:rPr>
      </w:pPr>
      <w:r w:rsidRPr="00E936C6">
        <w:rPr>
          <w:rFonts w:ascii="Times New Roman" w:eastAsiaTheme="minorEastAsia" w:hAnsi="Times New Roman" w:cs="Times New Roman"/>
          <w:color w:val="auto"/>
          <w:sz w:val="22"/>
        </w:rPr>
        <w:t xml:space="preserve">Improve Rural–Urban Value Chain Integration - </w:t>
      </w:r>
      <w:r w:rsidRPr="00E936C6">
        <w:rPr>
          <w:rFonts w:ascii="Times New Roman" w:eastAsiaTheme="minorEastAsia" w:hAnsi="Times New Roman" w:cs="Times New Roman"/>
          <w:b w:val="0"/>
          <w:bCs w:val="0"/>
          <w:color w:val="auto"/>
          <w:sz w:val="22"/>
        </w:rPr>
        <w:t>To address weak backward linkages between tourism enterprises and local producers, the following measures are recommended:</w:t>
      </w:r>
    </w:p>
    <w:p w14:paraId="32F2B338" w14:textId="77777777" w:rsidR="009F7C06" w:rsidRPr="00E936C6" w:rsidRDefault="009F7C06" w:rsidP="006872EB">
      <w:pPr>
        <w:pStyle w:val="NormalWeb"/>
        <w:numPr>
          <w:ilvl w:val="0"/>
          <w:numId w:val="17"/>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establishing aggregation, storage, or logistics centers to consolidate small farm outputs;</w:t>
      </w:r>
    </w:p>
    <w:p w14:paraId="23D243C3" w14:textId="77777777" w:rsidR="009F7C06" w:rsidRPr="00E936C6" w:rsidRDefault="009F7C06" w:rsidP="006872EB">
      <w:pPr>
        <w:pStyle w:val="NormalWeb"/>
        <w:numPr>
          <w:ilvl w:val="0"/>
          <w:numId w:val="17"/>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supporting producers in meeting certification and quality standards required by hotels and restaurants;</w:t>
      </w:r>
    </w:p>
    <w:p w14:paraId="547E5034" w14:textId="30E99632" w:rsidR="009F7C06" w:rsidRPr="00E936C6" w:rsidRDefault="009F7C06" w:rsidP="006872EB">
      <w:pPr>
        <w:pStyle w:val="NormalWeb"/>
        <w:numPr>
          <w:ilvl w:val="0"/>
          <w:numId w:val="17"/>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 xml:space="preserve">creating municipal partnership programs that connect farmers directly with tourism businesses (e.g., </w:t>
      </w:r>
      <w:r w:rsidR="0070015C">
        <w:rPr>
          <w:rFonts w:eastAsiaTheme="minorEastAsia"/>
          <w:sz w:val="22"/>
          <w:szCs w:val="22"/>
        </w:rPr>
        <w:t>“</w:t>
      </w:r>
      <w:r w:rsidRPr="00E936C6">
        <w:rPr>
          <w:rFonts w:eastAsiaTheme="minorEastAsia"/>
          <w:sz w:val="22"/>
          <w:szCs w:val="22"/>
        </w:rPr>
        <w:t>Buy Local Borjomi</w:t>
      </w:r>
      <w:r w:rsidR="0070015C">
        <w:rPr>
          <w:rFonts w:eastAsiaTheme="minorEastAsia"/>
          <w:sz w:val="22"/>
          <w:szCs w:val="22"/>
        </w:rPr>
        <w:t>”</w:t>
      </w:r>
      <w:r w:rsidRPr="00E936C6">
        <w:rPr>
          <w:rFonts w:eastAsiaTheme="minorEastAsia"/>
          <w:sz w:val="22"/>
          <w:szCs w:val="22"/>
        </w:rPr>
        <w:t xml:space="preserve"> initiatives);</w:t>
      </w:r>
    </w:p>
    <w:p w14:paraId="0CD7B5DB" w14:textId="77777777" w:rsidR="009F7C06" w:rsidRPr="00E936C6" w:rsidRDefault="009F7C06" w:rsidP="006872EB">
      <w:pPr>
        <w:pStyle w:val="NormalWeb"/>
        <w:numPr>
          <w:ilvl w:val="0"/>
          <w:numId w:val="17"/>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introducing training programs on processing, packaging, and supply-chain management.</w:t>
      </w:r>
    </w:p>
    <w:p w14:paraId="4A6859AA" w14:textId="77777777" w:rsidR="009F7C06" w:rsidRPr="00E936C6" w:rsidRDefault="009F7C06" w:rsidP="0096271C">
      <w:pPr>
        <w:pStyle w:val="Heading3"/>
        <w:spacing w:before="0"/>
        <w:ind w:firstLine="720"/>
        <w:jc w:val="both"/>
        <w:rPr>
          <w:rFonts w:ascii="Times New Roman" w:eastAsiaTheme="minorEastAsia" w:hAnsi="Times New Roman" w:cs="Times New Roman"/>
          <w:b w:val="0"/>
          <w:bCs w:val="0"/>
          <w:color w:val="auto"/>
          <w:sz w:val="22"/>
        </w:rPr>
      </w:pPr>
      <w:r w:rsidRPr="00E936C6">
        <w:rPr>
          <w:rFonts w:ascii="Times New Roman" w:eastAsiaTheme="minorEastAsia" w:hAnsi="Times New Roman" w:cs="Times New Roman"/>
          <w:color w:val="auto"/>
          <w:sz w:val="22"/>
        </w:rPr>
        <w:t xml:space="preserve">Enhance Transport and Mobility Infrastructure - </w:t>
      </w:r>
      <w:r w:rsidRPr="00E936C6">
        <w:rPr>
          <w:rFonts w:ascii="Times New Roman" w:eastAsiaTheme="minorEastAsia" w:hAnsi="Times New Roman" w:cs="Times New Roman"/>
          <w:b w:val="0"/>
          <w:bCs w:val="0"/>
          <w:color w:val="auto"/>
          <w:sz w:val="22"/>
        </w:rPr>
        <w:t>Reliable connectivity is essential for spatial cohesion. Investments should prioritize:</w:t>
      </w:r>
    </w:p>
    <w:p w14:paraId="2044B70F" w14:textId="77777777" w:rsidR="009F7C06" w:rsidRPr="00E936C6" w:rsidRDefault="009F7C06" w:rsidP="006872EB">
      <w:pPr>
        <w:pStyle w:val="NormalWeb"/>
        <w:numPr>
          <w:ilvl w:val="0"/>
          <w:numId w:val="18"/>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improved winter road maintenance between Borjomi and Bakuriani;</w:t>
      </w:r>
    </w:p>
    <w:p w14:paraId="072F8E4C" w14:textId="77777777" w:rsidR="009F7C06" w:rsidRPr="00E936C6" w:rsidRDefault="009F7C06" w:rsidP="006872EB">
      <w:pPr>
        <w:pStyle w:val="NormalWeb"/>
        <w:numPr>
          <w:ilvl w:val="0"/>
          <w:numId w:val="18"/>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upgraded public transport options to strengthen functional mobility between villages and main centers;</w:t>
      </w:r>
    </w:p>
    <w:p w14:paraId="4672B6E7" w14:textId="77777777" w:rsidR="009F7C06" w:rsidRPr="00E936C6" w:rsidRDefault="009F7C06" w:rsidP="006872EB">
      <w:pPr>
        <w:pStyle w:val="NormalWeb"/>
        <w:numPr>
          <w:ilvl w:val="0"/>
          <w:numId w:val="18"/>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accessibility enhancements in corridor villages, enabling them to participate more actively in tourism flows.</w:t>
      </w:r>
    </w:p>
    <w:p w14:paraId="39DF85B9" w14:textId="77777777" w:rsidR="009F7C06" w:rsidRPr="00E936C6" w:rsidRDefault="009F7C06" w:rsidP="0096271C">
      <w:pPr>
        <w:pStyle w:val="Heading3"/>
        <w:spacing w:before="0"/>
        <w:ind w:firstLine="720"/>
        <w:jc w:val="both"/>
        <w:rPr>
          <w:rFonts w:ascii="Times New Roman" w:eastAsiaTheme="minorEastAsia" w:hAnsi="Times New Roman" w:cs="Times New Roman"/>
          <w:b w:val="0"/>
          <w:bCs w:val="0"/>
          <w:color w:val="auto"/>
          <w:sz w:val="22"/>
        </w:rPr>
      </w:pPr>
      <w:r w:rsidRPr="00E936C6">
        <w:rPr>
          <w:rFonts w:ascii="Times New Roman" w:eastAsiaTheme="minorEastAsia" w:hAnsi="Times New Roman" w:cs="Times New Roman"/>
          <w:color w:val="auto"/>
          <w:sz w:val="22"/>
        </w:rPr>
        <w:t xml:space="preserve">Address Demographic Pressures and Support Peripheral Settlements - </w:t>
      </w:r>
      <w:r w:rsidRPr="00E936C6">
        <w:rPr>
          <w:rFonts w:ascii="Times New Roman" w:eastAsiaTheme="minorEastAsia" w:hAnsi="Times New Roman" w:cs="Times New Roman"/>
          <w:b w:val="0"/>
          <w:bCs w:val="0"/>
          <w:color w:val="auto"/>
          <w:sz w:val="22"/>
        </w:rPr>
        <w:t>Smaller settlements require targeted interventions to mitigate depopulation and ensure long-term resilience. Recommended actions include:</w:t>
      </w:r>
    </w:p>
    <w:p w14:paraId="4F19E0D3" w14:textId="77777777" w:rsidR="009F7C06" w:rsidRPr="00E936C6" w:rsidRDefault="009F7C06" w:rsidP="006872EB">
      <w:pPr>
        <w:pStyle w:val="NormalWeb"/>
        <w:numPr>
          <w:ilvl w:val="0"/>
          <w:numId w:val="1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decentralizing select administrative or social services into larger villages;</w:t>
      </w:r>
    </w:p>
    <w:p w14:paraId="2ED2D798" w14:textId="77777777" w:rsidR="009F7C06" w:rsidRPr="00E936C6" w:rsidRDefault="009F7C06" w:rsidP="006872EB">
      <w:pPr>
        <w:pStyle w:val="NormalWeb"/>
        <w:numPr>
          <w:ilvl w:val="0"/>
          <w:numId w:val="1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lastRenderedPageBreak/>
        <w:t>improving digital infrastructure to support remote work and small service businesses;</w:t>
      </w:r>
    </w:p>
    <w:p w14:paraId="69A5ACFF" w14:textId="77777777" w:rsidR="009F7C06" w:rsidRPr="00E936C6" w:rsidRDefault="009F7C06" w:rsidP="006872EB">
      <w:pPr>
        <w:pStyle w:val="NormalWeb"/>
        <w:numPr>
          <w:ilvl w:val="0"/>
          <w:numId w:val="19"/>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providing incentives for young households and entrepreneurs to remain in or relocate to peripheral areas.</w:t>
      </w:r>
    </w:p>
    <w:p w14:paraId="13EA971E" w14:textId="77777777" w:rsidR="009F7C06" w:rsidRPr="00E936C6" w:rsidRDefault="009F7C06" w:rsidP="0096271C">
      <w:pPr>
        <w:pStyle w:val="Heading3"/>
        <w:spacing w:before="0"/>
        <w:ind w:firstLine="720"/>
        <w:jc w:val="both"/>
        <w:rPr>
          <w:rFonts w:ascii="Times New Roman" w:eastAsiaTheme="minorEastAsia" w:hAnsi="Times New Roman" w:cs="Times New Roman"/>
          <w:b w:val="0"/>
          <w:bCs w:val="0"/>
          <w:color w:val="auto"/>
          <w:sz w:val="22"/>
        </w:rPr>
      </w:pPr>
      <w:r w:rsidRPr="00E936C6">
        <w:rPr>
          <w:rFonts w:ascii="Times New Roman" w:eastAsiaTheme="minorEastAsia" w:hAnsi="Times New Roman" w:cs="Times New Roman"/>
          <w:color w:val="auto"/>
          <w:sz w:val="22"/>
        </w:rPr>
        <w:t xml:space="preserve">Strengthen Institutional Coordination and Strategic Governance - </w:t>
      </w:r>
      <w:r w:rsidRPr="00E936C6">
        <w:rPr>
          <w:rFonts w:ascii="Times New Roman" w:eastAsiaTheme="minorEastAsia" w:hAnsi="Times New Roman" w:cs="Times New Roman"/>
          <w:b w:val="0"/>
          <w:bCs w:val="0"/>
          <w:color w:val="auto"/>
          <w:sz w:val="22"/>
        </w:rPr>
        <w:t>The research identifies fragmented planning as a major constraint. To overcome this:</w:t>
      </w:r>
    </w:p>
    <w:p w14:paraId="29B423A1" w14:textId="77777777" w:rsidR="009F7C06" w:rsidRPr="00E936C6" w:rsidRDefault="009F7C06" w:rsidP="006872EB">
      <w:pPr>
        <w:pStyle w:val="NormalWeb"/>
        <w:numPr>
          <w:ilvl w:val="0"/>
          <w:numId w:val="20"/>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municipal authorities should integrate spatial, tourism, agricultural, and economic strategies into a unified development framework;</w:t>
      </w:r>
    </w:p>
    <w:p w14:paraId="7EC7A722" w14:textId="77777777" w:rsidR="009F7C06" w:rsidRPr="00E936C6" w:rsidRDefault="009F7C06" w:rsidP="006872EB">
      <w:pPr>
        <w:pStyle w:val="NormalWeb"/>
        <w:numPr>
          <w:ilvl w:val="0"/>
          <w:numId w:val="20"/>
        </w:numPr>
        <w:tabs>
          <w:tab w:val="clear" w:pos="720"/>
        </w:tabs>
        <w:spacing w:before="0" w:beforeAutospacing="0" w:after="0" w:afterAutospacing="0" w:line="276" w:lineRule="auto"/>
        <w:ind w:left="1080"/>
        <w:jc w:val="both"/>
        <w:rPr>
          <w:rFonts w:eastAsiaTheme="minorEastAsia"/>
          <w:sz w:val="22"/>
          <w:szCs w:val="22"/>
        </w:rPr>
      </w:pPr>
      <w:r w:rsidRPr="00E936C6">
        <w:rPr>
          <w:rFonts w:eastAsiaTheme="minorEastAsia"/>
          <w:sz w:val="22"/>
          <w:szCs w:val="22"/>
        </w:rPr>
        <w:t>inter-agency and public–private cooperation should be enhanced to ensure coherent policy implementation;</w:t>
      </w:r>
    </w:p>
    <w:p w14:paraId="4C63C6C6" w14:textId="0BD34750" w:rsidR="009F7C06" w:rsidRPr="00E936C6" w:rsidRDefault="00151F26" w:rsidP="006872EB">
      <w:pPr>
        <w:pStyle w:val="NormalWeb"/>
        <w:numPr>
          <w:ilvl w:val="0"/>
          <w:numId w:val="20"/>
        </w:numPr>
        <w:tabs>
          <w:tab w:val="clear" w:pos="720"/>
        </w:tabs>
        <w:spacing w:before="0" w:beforeAutospacing="0" w:after="0" w:afterAutospacing="0" w:line="276" w:lineRule="auto"/>
        <w:ind w:left="1080"/>
        <w:jc w:val="both"/>
        <w:rPr>
          <w:rFonts w:eastAsiaTheme="minorEastAsia"/>
          <w:sz w:val="22"/>
          <w:szCs w:val="22"/>
        </w:rPr>
      </w:pPr>
      <w:r>
        <w:rPr>
          <w:rFonts w:eastAsiaTheme="minorEastAsia"/>
          <w:sz w:val="22"/>
          <w:szCs w:val="22"/>
        </w:rPr>
        <w:t>D</w:t>
      </w:r>
      <w:r w:rsidR="009F7C06" w:rsidRPr="00E936C6">
        <w:rPr>
          <w:rFonts w:eastAsiaTheme="minorEastAsia"/>
          <w:sz w:val="22"/>
          <w:szCs w:val="22"/>
        </w:rPr>
        <w:t>ata collection and monitoring systems should be improved to enable evidence-based decision-making.</w:t>
      </w:r>
    </w:p>
    <w:p w14:paraId="00A079E6" w14:textId="77777777" w:rsidR="005B6BEF" w:rsidRDefault="005B6BEF" w:rsidP="0096271C">
      <w:pPr>
        <w:spacing w:after="0" w:line="276" w:lineRule="auto"/>
        <w:rPr>
          <w:rFonts w:ascii="Times New Roman" w:hAnsi="Times New Roman" w:cs="Times New Roman"/>
          <w:b/>
        </w:rPr>
      </w:pPr>
    </w:p>
    <w:p w14:paraId="36D5E7E3" w14:textId="77777777" w:rsidR="005B6BEF" w:rsidRDefault="005B6BEF" w:rsidP="0096271C">
      <w:pPr>
        <w:spacing w:after="0" w:line="276" w:lineRule="auto"/>
        <w:rPr>
          <w:rFonts w:ascii="Times New Roman" w:hAnsi="Times New Roman" w:cs="Times New Roman"/>
          <w:b/>
        </w:rPr>
      </w:pPr>
    </w:p>
    <w:p w14:paraId="4058D096" w14:textId="77777777" w:rsidR="005B6BEF" w:rsidRDefault="005B6BEF" w:rsidP="0096271C">
      <w:pPr>
        <w:spacing w:after="0" w:line="276" w:lineRule="auto"/>
        <w:rPr>
          <w:rFonts w:ascii="Times New Roman" w:hAnsi="Times New Roman" w:cs="Times New Roman"/>
          <w:b/>
        </w:rPr>
      </w:pPr>
    </w:p>
    <w:p w14:paraId="2ACD8AD9" w14:textId="2A972526" w:rsidR="009F7C06" w:rsidRPr="00E936C6" w:rsidRDefault="0096271C" w:rsidP="0096271C">
      <w:pPr>
        <w:spacing w:after="0" w:line="276" w:lineRule="auto"/>
        <w:rPr>
          <w:rFonts w:ascii="Times New Roman" w:hAnsi="Times New Roman" w:cs="Times New Roman"/>
          <w:b/>
        </w:rPr>
      </w:pPr>
      <w:r>
        <w:rPr>
          <w:rFonts w:ascii="Times New Roman" w:hAnsi="Times New Roman" w:cs="Times New Roman"/>
          <w:b/>
        </w:rPr>
        <w:t>References</w:t>
      </w:r>
      <w:r w:rsidR="000C799E">
        <w:rPr>
          <w:rFonts w:ascii="Times New Roman" w:hAnsi="Times New Roman" w:cs="Times New Roman"/>
          <w:b/>
        </w:rPr>
        <w:t>:</w:t>
      </w:r>
    </w:p>
    <w:p w14:paraId="2A547668" w14:textId="243C50F0" w:rsidR="009F7C06" w:rsidRPr="007402B8" w:rsidRDefault="000861FE" w:rsidP="007402B8">
      <w:pPr>
        <w:pStyle w:val="ListParagraph"/>
        <w:numPr>
          <w:ilvl w:val="0"/>
          <w:numId w:val="21"/>
        </w:numPr>
        <w:spacing w:after="0" w:line="276" w:lineRule="auto"/>
        <w:jc w:val="both"/>
        <w:rPr>
          <w:rFonts w:ascii="Times New Roman" w:eastAsia="Times New Roman" w:hAnsi="Times New Roman" w:cs="Times New Roman"/>
          <w:lang w:val="en-GB" w:eastAsia="en-GB"/>
        </w:rPr>
      </w:pPr>
      <w:r w:rsidRPr="007402B8">
        <w:rPr>
          <w:rFonts w:ascii="Times New Roman" w:hAnsi="Times New Roman" w:cs="Times New Roman"/>
        </w:rPr>
        <w:t xml:space="preserve">Amin, A. (2004). Regions unbound: Towards a new politics of place. </w:t>
      </w:r>
      <w:r w:rsidRPr="007402B8">
        <w:rPr>
          <w:rStyle w:val="Emphasis"/>
          <w:rFonts w:ascii="Times New Roman" w:hAnsi="Times New Roman" w:cs="Times New Roman"/>
          <w:i w:val="0"/>
          <w:iCs w:val="0"/>
        </w:rPr>
        <w:t>Geografiska Annaler: Series B, Human Geography, 86</w:t>
      </w:r>
      <w:r w:rsidRPr="007402B8">
        <w:rPr>
          <w:rFonts w:ascii="Times New Roman" w:hAnsi="Times New Roman" w:cs="Times New Roman"/>
        </w:rPr>
        <w:t>(1). &lt;https://doi.org/10.1111/j.0435-3684.2004.00152.x&gt;;</w:t>
      </w:r>
      <w:r w:rsidR="009F7C06" w:rsidRPr="007402B8">
        <w:rPr>
          <w:rFonts w:ascii="Times New Roman" w:eastAsia="Times New Roman" w:hAnsi="Times New Roman" w:cs="Times New Roman"/>
          <w:lang w:val="en-GB" w:eastAsia="en-GB"/>
        </w:rPr>
        <w:t xml:space="preserve"> </w:t>
      </w:r>
    </w:p>
    <w:p w14:paraId="054F49E1" w14:textId="62797BF9" w:rsidR="009F7C06" w:rsidRPr="007402B8" w:rsidRDefault="000861FE" w:rsidP="007402B8">
      <w:pPr>
        <w:pStyle w:val="ListParagraph"/>
        <w:numPr>
          <w:ilvl w:val="0"/>
          <w:numId w:val="21"/>
        </w:numPr>
        <w:spacing w:after="0" w:line="276" w:lineRule="auto"/>
        <w:jc w:val="both"/>
        <w:rPr>
          <w:rFonts w:ascii="Times New Roman" w:eastAsia="Times New Roman" w:hAnsi="Times New Roman" w:cs="Times New Roman"/>
          <w:lang w:val="en-GB" w:eastAsia="en-GB"/>
        </w:rPr>
      </w:pPr>
      <w:r w:rsidRPr="007402B8">
        <w:rPr>
          <w:rFonts w:ascii="Times New Roman" w:hAnsi="Times New Roman" w:cs="Times New Roman"/>
        </w:rPr>
        <w:t xml:space="preserve">Barca, F. (2009). </w:t>
      </w:r>
      <w:r w:rsidRPr="007402B8">
        <w:rPr>
          <w:rStyle w:val="Emphasis"/>
          <w:rFonts w:ascii="Times New Roman" w:hAnsi="Times New Roman" w:cs="Times New Roman"/>
          <w:i w:val="0"/>
          <w:iCs w:val="0"/>
        </w:rPr>
        <w:t>An agenda for a reformed cohesion policy: A place-based approach to meeting European Union challenges and expectations</w:t>
      </w:r>
      <w:r w:rsidRPr="007402B8">
        <w:rPr>
          <w:rFonts w:ascii="Times New Roman" w:hAnsi="Times New Roman" w:cs="Times New Roman"/>
          <w:i/>
          <w:iCs/>
        </w:rPr>
        <w:t>.</w:t>
      </w:r>
      <w:r w:rsidRPr="007402B8">
        <w:rPr>
          <w:rFonts w:ascii="Times New Roman" w:hAnsi="Times New Roman" w:cs="Times New Roman"/>
        </w:rPr>
        <w:t xml:space="preserve"> European Commission;</w:t>
      </w:r>
    </w:p>
    <w:p w14:paraId="4DD1E4E6" w14:textId="76B81AF0" w:rsidR="009F7C06" w:rsidRPr="007402B8" w:rsidRDefault="00073BC0"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rPr>
        <w:t>Bedianashvili, G. (2018). Culture as a factor of knowledge economics with paradigmatic changes in systemic institutional context. Globalization and Business, 4(6). &lt;https://doi.org/10.35945/gb.2018.06.007&gt;</w:t>
      </w:r>
      <w:r w:rsidR="007402B8">
        <w:rPr>
          <w:rFonts w:ascii="Times New Roman" w:hAnsi="Times New Roman" w:cs="Times New Roman"/>
        </w:rPr>
        <w:t>.</w:t>
      </w:r>
      <w:r w:rsidRPr="007402B8">
        <w:rPr>
          <w:rFonts w:ascii="Times New Roman" w:hAnsi="Times New Roman" w:cs="Times New Roman"/>
        </w:rPr>
        <w:t xml:space="preserve"> </w:t>
      </w:r>
      <w:r w:rsidR="009F7C06" w:rsidRPr="007402B8">
        <w:rPr>
          <w:rFonts w:ascii="Times New Roman" w:hAnsi="Times New Roman" w:cs="Times New Roman"/>
        </w:rPr>
        <w:t>(in Georgian)</w:t>
      </w:r>
      <w:r w:rsidR="007402B8">
        <w:rPr>
          <w:rFonts w:ascii="Times New Roman" w:hAnsi="Times New Roman" w:cs="Times New Roman"/>
        </w:rPr>
        <w:t>;</w:t>
      </w:r>
    </w:p>
    <w:p w14:paraId="0847332F" w14:textId="52F98B50" w:rsidR="009F7C06" w:rsidRPr="007402B8" w:rsidRDefault="009F7C06"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bCs/>
        </w:rPr>
        <w:t>Bedianashvili, G.</w:t>
      </w:r>
      <w:r w:rsidRPr="007402B8">
        <w:rPr>
          <w:rFonts w:ascii="Times New Roman" w:hAnsi="Times New Roman" w:cs="Times New Roman"/>
        </w:rPr>
        <w:t xml:space="preserve"> (2022). </w:t>
      </w:r>
      <w:r w:rsidRPr="007402B8">
        <w:rPr>
          <w:rFonts w:ascii="Times New Roman" w:hAnsi="Times New Roman" w:cs="Times New Roman"/>
          <w:iCs/>
        </w:rPr>
        <w:t>The problem of assessing the expected consequences of economic policy</w:t>
      </w:r>
      <w:r w:rsidRPr="007402B8">
        <w:rPr>
          <w:rFonts w:ascii="Times New Roman" w:hAnsi="Times New Roman" w:cs="Times New Roman"/>
        </w:rPr>
        <w:t xml:space="preserve">. </w:t>
      </w:r>
      <w:r w:rsidRPr="007402B8">
        <w:rPr>
          <w:rFonts w:ascii="Times New Roman" w:hAnsi="Times New Roman" w:cs="Times New Roman"/>
          <w:bCs/>
        </w:rPr>
        <w:t>Globalization and Business, 7</w:t>
      </w:r>
      <w:r w:rsidRPr="007402B8">
        <w:rPr>
          <w:rFonts w:ascii="Times New Roman" w:hAnsi="Times New Roman" w:cs="Times New Roman"/>
        </w:rPr>
        <w:t xml:space="preserve">(13), 17–24. </w:t>
      </w:r>
      <w:r w:rsidR="000A1BAD" w:rsidRPr="007402B8">
        <w:rPr>
          <w:rFonts w:ascii="Times New Roman" w:hAnsi="Times New Roman" w:cs="Times New Roman"/>
        </w:rPr>
        <w:t>&lt;</w:t>
      </w:r>
      <w:r w:rsidRPr="007402B8">
        <w:rPr>
          <w:rFonts w:ascii="Times New Roman" w:hAnsi="Times New Roman" w:cs="Times New Roman"/>
        </w:rPr>
        <w:t>https://doi.org/10.35945/gb.2022.13.002</w:t>
      </w:r>
      <w:r w:rsidR="000A1BAD" w:rsidRPr="007402B8">
        <w:rPr>
          <w:rFonts w:ascii="Times New Roman" w:hAnsi="Times New Roman" w:cs="Times New Roman"/>
        </w:rPr>
        <w:t>&gt;</w:t>
      </w:r>
      <w:r w:rsidR="007402B8">
        <w:rPr>
          <w:rFonts w:ascii="Times New Roman" w:hAnsi="Times New Roman" w:cs="Times New Roman"/>
        </w:rPr>
        <w:t>.</w:t>
      </w:r>
      <w:r w:rsidRPr="007402B8">
        <w:rPr>
          <w:rFonts w:ascii="Times New Roman" w:hAnsi="Times New Roman" w:cs="Times New Roman"/>
        </w:rPr>
        <w:t xml:space="preserve"> (in Georgian)</w:t>
      </w:r>
      <w:r w:rsidR="007402B8">
        <w:rPr>
          <w:rFonts w:ascii="Times New Roman" w:hAnsi="Times New Roman" w:cs="Times New Roman"/>
        </w:rPr>
        <w:t>;</w:t>
      </w:r>
    </w:p>
    <w:p w14:paraId="2E834D92" w14:textId="0378DBAE" w:rsidR="009F7C06" w:rsidRPr="007402B8" w:rsidRDefault="009F7C06"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bCs/>
        </w:rPr>
        <w:t>Bedianashvili, G., Ivanov, Y. B., Paientko, T. V.</w:t>
      </w:r>
      <w:r w:rsidRPr="007402B8">
        <w:rPr>
          <w:rFonts w:ascii="Times New Roman" w:hAnsi="Times New Roman" w:cs="Times New Roman"/>
        </w:rPr>
        <w:t xml:space="preserve"> (2019). </w:t>
      </w:r>
      <w:r w:rsidRPr="007402B8">
        <w:rPr>
          <w:rFonts w:ascii="Times New Roman" w:hAnsi="Times New Roman" w:cs="Times New Roman"/>
          <w:iCs/>
        </w:rPr>
        <w:t>Tax reforms in Ukraine and Georgia: Changing priorities</w:t>
      </w:r>
      <w:r w:rsidRPr="007402B8">
        <w:rPr>
          <w:rFonts w:ascii="Times New Roman" w:hAnsi="Times New Roman" w:cs="Times New Roman"/>
        </w:rPr>
        <w:t xml:space="preserve">. </w:t>
      </w:r>
      <w:r w:rsidRPr="007402B8">
        <w:rPr>
          <w:rFonts w:ascii="Times New Roman" w:hAnsi="Times New Roman" w:cs="Times New Roman"/>
          <w:bCs/>
        </w:rPr>
        <w:t>Journal of Tax Reform, 5</w:t>
      </w:r>
      <w:r w:rsidRPr="007402B8">
        <w:rPr>
          <w:rFonts w:ascii="Times New Roman" w:hAnsi="Times New Roman" w:cs="Times New Roman"/>
        </w:rPr>
        <w:t xml:space="preserve">(2), 107–128. </w:t>
      </w:r>
      <w:r w:rsidR="000A1BAD" w:rsidRPr="007402B8">
        <w:rPr>
          <w:rFonts w:ascii="Times New Roman" w:hAnsi="Times New Roman" w:cs="Times New Roman"/>
        </w:rPr>
        <w:t>&lt;</w:t>
      </w:r>
      <w:hyperlink r:id="rId10" w:tgtFrame="_new" w:history="1">
        <w:r w:rsidRPr="007402B8">
          <w:rPr>
            <w:rFonts w:ascii="Times New Roman" w:hAnsi="Times New Roman" w:cs="Times New Roman"/>
          </w:rPr>
          <w:t>https://doi.org/10.15826/jtr.2019.5.2.063</w:t>
        </w:r>
      </w:hyperlink>
      <w:r w:rsidR="000A1BAD" w:rsidRPr="007402B8">
        <w:rPr>
          <w:rFonts w:ascii="Times New Roman" w:hAnsi="Times New Roman" w:cs="Times New Roman"/>
        </w:rPr>
        <w:t>&gt;</w:t>
      </w:r>
      <w:r w:rsidR="000C799E">
        <w:rPr>
          <w:rFonts w:ascii="Times New Roman" w:hAnsi="Times New Roman" w:cs="Times New Roman"/>
        </w:rPr>
        <w:t>;</w:t>
      </w:r>
    </w:p>
    <w:p w14:paraId="7E43960E" w14:textId="430867F7" w:rsidR="009F7C06" w:rsidRPr="007402B8" w:rsidRDefault="000861FE"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rPr>
        <w:t xml:space="preserve">Briedenhann, J., Wickens, E. (2004). Tourism routes as a tool for the economic development of rural areas—Vibrant hope or impossible dream? </w:t>
      </w:r>
      <w:r w:rsidRPr="007402B8">
        <w:rPr>
          <w:rStyle w:val="Emphasis"/>
          <w:rFonts w:ascii="Times New Roman" w:hAnsi="Times New Roman" w:cs="Times New Roman"/>
          <w:i w:val="0"/>
          <w:iCs w:val="0"/>
        </w:rPr>
        <w:t>Tourism Management, 25</w:t>
      </w:r>
      <w:r w:rsidRPr="007402B8">
        <w:rPr>
          <w:rFonts w:ascii="Times New Roman" w:hAnsi="Times New Roman" w:cs="Times New Roman"/>
        </w:rPr>
        <w:t>(1). &lt;https://doi.org/10.1016/S0261-5177(03)00063-3&gt;;</w:t>
      </w:r>
      <w:r w:rsidR="009F7C06" w:rsidRPr="007402B8">
        <w:rPr>
          <w:rFonts w:ascii="Times New Roman" w:hAnsi="Times New Roman" w:cs="Times New Roman"/>
        </w:rPr>
        <w:t xml:space="preserve"> </w:t>
      </w:r>
    </w:p>
    <w:p w14:paraId="01E083E3" w14:textId="6496A7EE" w:rsidR="009F7C06" w:rsidRPr="007402B8" w:rsidRDefault="000861FE" w:rsidP="007402B8">
      <w:pPr>
        <w:pStyle w:val="NormalWeb"/>
        <w:numPr>
          <w:ilvl w:val="0"/>
          <w:numId w:val="21"/>
        </w:numPr>
        <w:spacing w:before="0" w:beforeAutospacing="0" w:after="0" w:afterAutospacing="0" w:line="276" w:lineRule="auto"/>
        <w:jc w:val="both"/>
        <w:rPr>
          <w:sz w:val="22"/>
          <w:szCs w:val="22"/>
        </w:rPr>
      </w:pPr>
      <w:r w:rsidRPr="007402B8">
        <w:rPr>
          <w:sz w:val="22"/>
          <w:szCs w:val="22"/>
        </w:rPr>
        <w:t xml:space="preserve">ESPON. (2019). </w:t>
      </w:r>
      <w:r w:rsidRPr="007402B8">
        <w:rPr>
          <w:rStyle w:val="Emphasis"/>
          <w:i w:val="0"/>
          <w:iCs w:val="0"/>
          <w:sz w:val="22"/>
          <w:szCs w:val="22"/>
        </w:rPr>
        <w:t>ESPON Policy Brief: The territorial dimension of future EU policies</w:t>
      </w:r>
      <w:r w:rsidRPr="007402B8">
        <w:rPr>
          <w:i/>
          <w:iCs/>
          <w:sz w:val="22"/>
          <w:szCs w:val="22"/>
        </w:rPr>
        <w:t>.</w:t>
      </w:r>
      <w:r w:rsidRPr="007402B8">
        <w:rPr>
          <w:sz w:val="22"/>
          <w:szCs w:val="22"/>
        </w:rPr>
        <w:t xml:space="preserve"> European Spatial Planning Observatory Network;</w:t>
      </w:r>
    </w:p>
    <w:p w14:paraId="671F561D" w14:textId="61180C76" w:rsidR="00073BC0" w:rsidRPr="007402B8" w:rsidRDefault="00073BC0" w:rsidP="007402B8">
      <w:pPr>
        <w:pStyle w:val="NormalWeb"/>
        <w:numPr>
          <w:ilvl w:val="0"/>
          <w:numId w:val="21"/>
        </w:numPr>
        <w:spacing w:before="0" w:beforeAutospacing="0" w:after="0" w:afterAutospacing="0" w:line="276" w:lineRule="auto"/>
        <w:jc w:val="both"/>
        <w:rPr>
          <w:sz w:val="22"/>
          <w:szCs w:val="22"/>
        </w:rPr>
      </w:pPr>
      <w:r w:rsidRPr="007402B8">
        <w:rPr>
          <w:rStyle w:val="Strong"/>
          <w:b w:val="0"/>
          <w:sz w:val="22"/>
          <w:szCs w:val="22"/>
        </w:rPr>
        <w:t>Fujita, M., Krugman, P., Venables, A. J. (1999).</w:t>
      </w:r>
      <w:r w:rsidRPr="007402B8">
        <w:rPr>
          <w:sz w:val="22"/>
          <w:szCs w:val="22"/>
        </w:rPr>
        <w:t xml:space="preserve"> </w:t>
      </w:r>
      <w:r w:rsidRPr="007402B8">
        <w:rPr>
          <w:rStyle w:val="Emphasis"/>
          <w:i w:val="0"/>
          <w:iCs w:val="0"/>
          <w:sz w:val="22"/>
          <w:szCs w:val="22"/>
        </w:rPr>
        <w:t>The spatial economy: Cities, regions, and international trade.</w:t>
      </w:r>
      <w:r w:rsidRPr="007402B8">
        <w:rPr>
          <w:sz w:val="22"/>
          <w:szCs w:val="22"/>
        </w:rPr>
        <w:t xml:space="preserve"> MIT Press</w:t>
      </w:r>
      <w:r w:rsidR="000861FE" w:rsidRPr="007402B8">
        <w:rPr>
          <w:sz w:val="22"/>
          <w:szCs w:val="22"/>
        </w:rPr>
        <w:t>;</w:t>
      </w:r>
    </w:p>
    <w:p w14:paraId="5FD5D64B" w14:textId="116DBB89" w:rsidR="009F7C06" w:rsidRPr="007402B8" w:rsidRDefault="009F7C06"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rPr>
        <w:t xml:space="preserve">Jibuti, M. (2025). Enhancing regional development in Georgia: Integrating functional spatial planning and land use modeling for sustainable economic growth. </w:t>
      </w:r>
      <w:r w:rsidRPr="000C799E">
        <w:rPr>
          <w:rStyle w:val="Emphasis"/>
          <w:rFonts w:ascii="Times New Roman" w:hAnsi="Times New Roman" w:cs="Times New Roman"/>
          <w:i w:val="0"/>
          <w:iCs w:val="0"/>
        </w:rPr>
        <w:t>International Journal of Social Sciences, 14</w:t>
      </w:r>
      <w:r w:rsidRPr="007402B8">
        <w:rPr>
          <w:rFonts w:ascii="Times New Roman" w:hAnsi="Times New Roman" w:cs="Times New Roman"/>
        </w:rPr>
        <w:t xml:space="preserve">(1), 23–34. </w:t>
      </w:r>
      <w:r w:rsidR="00D241CE" w:rsidRPr="007402B8">
        <w:rPr>
          <w:rFonts w:ascii="Times New Roman" w:eastAsia="Times New Roman" w:hAnsi="Times New Roman" w:cs="Times New Roman"/>
        </w:rPr>
        <w:t>&lt;</w:t>
      </w:r>
      <w:r w:rsidRPr="007402B8">
        <w:rPr>
          <w:rFonts w:ascii="Times New Roman" w:eastAsia="Times New Roman" w:hAnsi="Times New Roman" w:cs="Times New Roman"/>
        </w:rPr>
        <w:t>https://doi.org/10.52950/SS.2025.14.1.002</w:t>
      </w:r>
      <w:r w:rsidR="00D241CE" w:rsidRPr="007402B8">
        <w:rPr>
          <w:rFonts w:ascii="Times New Roman" w:eastAsia="Times New Roman" w:hAnsi="Times New Roman" w:cs="Times New Roman"/>
        </w:rPr>
        <w:t>&gt;;</w:t>
      </w:r>
      <w:r w:rsidRPr="007402B8">
        <w:rPr>
          <w:rFonts w:ascii="Times New Roman" w:hAnsi="Times New Roman" w:cs="Times New Roman"/>
        </w:rPr>
        <w:t xml:space="preserve"> </w:t>
      </w:r>
    </w:p>
    <w:p w14:paraId="298AF289" w14:textId="1344EC56" w:rsidR="009F7C06" w:rsidRPr="007402B8" w:rsidRDefault="009F7C06"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rPr>
        <w:t xml:space="preserve">Jibuti, M. (2021). </w:t>
      </w:r>
      <w:r w:rsidRPr="000C799E">
        <w:rPr>
          <w:rStyle w:val="Emphasis"/>
          <w:rFonts w:ascii="Times New Roman" w:hAnsi="Times New Roman" w:cs="Times New Roman"/>
          <w:i w:val="0"/>
          <w:iCs w:val="0"/>
        </w:rPr>
        <w:t>On the usage of old and modern technologies for economic sustainability</w:t>
      </w:r>
      <w:r w:rsidRPr="000C799E">
        <w:rPr>
          <w:rFonts w:ascii="Times New Roman" w:hAnsi="Times New Roman" w:cs="Times New Roman"/>
          <w:i/>
          <w:iCs/>
        </w:rPr>
        <w:t xml:space="preserve">. </w:t>
      </w:r>
      <w:r w:rsidRPr="000C799E">
        <w:rPr>
          <w:rStyle w:val="Emphasis"/>
          <w:rFonts w:ascii="Times New Roman" w:hAnsi="Times New Roman" w:cs="Times New Roman"/>
          <w:i w:val="0"/>
          <w:iCs w:val="0"/>
        </w:rPr>
        <w:t>Globalization and Business</w:t>
      </w:r>
      <w:r w:rsidRPr="007402B8">
        <w:rPr>
          <w:rFonts w:ascii="Times New Roman" w:hAnsi="Times New Roman" w:cs="Times New Roman"/>
        </w:rPr>
        <w:t xml:space="preserve">, 6(11), 97-100. </w:t>
      </w:r>
      <w:r w:rsidR="00D241CE" w:rsidRPr="007402B8">
        <w:rPr>
          <w:rFonts w:ascii="Times New Roman" w:eastAsia="Times New Roman" w:hAnsi="Times New Roman" w:cs="Times New Roman"/>
        </w:rPr>
        <w:t>&lt;</w:t>
      </w:r>
      <w:hyperlink r:id="rId11" w:history="1">
        <w:r w:rsidRPr="007402B8">
          <w:rPr>
            <w:rFonts w:ascii="Times New Roman" w:eastAsia="Times New Roman" w:hAnsi="Times New Roman" w:cs="Times New Roman"/>
          </w:rPr>
          <w:t>https://doi.org/10.35945/gb.2021.11.013</w:t>
        </w:r>
      </w:hyperlink>
      <w:r w:rsidR="00D241CE" w:rsidRPr="007402B8">
        <w:rPr>
          <w:rFonts w:ascii="Times New Roman" w:eastAsia="Times New Roman" w:hAnsi="Times New Roman" w:cs="Times New Roman"/>
        </w:rPr>
        <w:t>&gt;;</w:t>
      </w:r>
    </w:p>
    <w:p w14:paraId="52872BD7" w14:textId="22B03DA6" w:rsidR="009F7C06" w:rsidRPr="007402B8" w:rsidRDefault="0032133B" w:rsidP="007402B8">
      <w:pPr>
        <w:pStyle w:val="ListParagraph"/>
        <w:numPr>
          <w:ilvl w:val="0"/>
          <w:numId w:val="21"/>
        </w:numPr>
        <w:spacing w:after="0" w:line="276" w:lineRule="auto"/>
        <w:jc w:val="both"/>
        <w:rPr>
          <w:rFonts w:ascii="Times New Roman" w:hAnsi="Times New Roman" w:cs="Times New Roman"/>
        </w:rPr>
      </w:pPr>
      <w:r w:rsidRPr="007402B8">
        <w:rPr>
          <w:rFonts w:ascii="Times New Roman" w:hAnsi="Times New Roman" w:cs="Times New Roman"/>
        </w:rPr>
        <w:t xml:space="preserve">Jibuti, M. (2019). Administrative division, regions of Georgia and their characteristics. </w:t>
      </w:r>
      <w:r w:rsidRPr="007402B8">
        <w:rPr>
          <w:rStyle w:val="Emphasis"/>
          <w:rFonts w:ascii="Times New Roman" w:hAnsi="Times New Roman" w:cs="Times New Roman"/>
          <w:i w:val="0"/>
          <w:iCs w:val="0"/>
        </w:rPr>
        <w:t>Globalization and Business, 4</w:t>
      </w:r>
      <w:r w:rsidRPr="007402B8">
        <w:rPr>
          <w:rFonts w:ascii="Times New Roman" w:hAnsi="Times New Roman" w:cs="Times New Roman"/>
        </w:rPr>
        <w:t>(8). &lt;https://doi.org/10.35945/gb.2019.08.016&gt;;</w:t>
      </w:r>
    </w:p>
    <w:p w14:paraId="26A9A82E" w14:textId="55E276DD" w:rsidR="009F7C06" w:rsidRPr="007402B8" w:rsidRDefault="009F7C06" w:rsidP="007402B8">
      <w:pPr>
        <w:pStyle w:val="NormalWeb"/>
        <w:numPr>
          <w:ilvl w:val="0"/>
          <w:numId w:val="21"/>
        </w:numPr>
        <w:spacing w:before="0" w:beforeAutospacing="0" w:after="0" w:afterAutospacing="0" w:line="276" w:lineRule="auto"/>
        <w:jc w:val="both"/>
        <w:rPr>
          <w:sz w:val="22"/>
          <w:szCs w:val="22"/>
        </w:rPr>
      </w:pPr>
      <w:r w:rsidRPr="007402B8">
        <w:rPr>
          <w:rStyle w:val="Strong"/>
          <w:b w:val="0"/>
          <w:sz w:val="22"/>
          <w:szCs w:val="22"/>
        </w:rPr>
        <w:t>Keshelashvili, G.</w:t>
      </w:r>
      <w:r w:rsidRPr="007402B8">
        <w:rPr>
          <w:sz w:val="22"/>
          <w:szCs w:val="22"/>
        </w:rPr>
        <w:t xml:space="preserve"> (2016). </w:t>
      </w:r>
      <w:r w:rsidRPr="007402B8">
        <w:rPr>
          <w:rStyle w:val="Emphasis"/>
          <w:i w:val="0"/>
          <w:sz w:val="22"/>
          <w:szCs w:val="22"/>
        </w:rPr>
        <w:t>General strategies of Georgian winemaking companies</w:t>
      </w:r>
      <w:r w:rsidR="0070015C" w:rsidRPr="007402B8">
        <w:rPr>
          <w:rStyle w:val="Emphasis"/>
          <w:i w:val="0"/>
          <w:sz w:val="22"/>
          <w:szCs w:val="22"/>
        </w:rPr>
        <w:t>’</w:t>
      </w:r>
      <w:r w:rsidRPr="007402B8">
        <w:rPr>
          <w:rStyle w:val="Emphasis"/>
          <w:i w:val="0"/>
          <w:sz w:val="22"/>
          <w:szCs w:val="22"/>
        </w:rPr>
        <w:t xml:space="preserve"> management in the conditions of integrated development</w:t>
      </w:r>
      <w:r w:rsidRPr="007402B8">
        <w:rPr>
          <w:sz w:val="22"/>
          <w:szCs w:val="22"/>
        </w:rPr>
        <w:t xml:space="preserve">. In </w:t>
      </w:r>
      <w:r w:rsidRPr="000C799E">
        <w:rPr>
          <w:rStyle w:val="Emphasis"/>
          <w:i w:val="0"/>
          <w:iCs w:val="0"/>
          <w:sz w:val="22"/>
          <w:szCs w:val="22"/>
        </w:rPr>
        <w:t>Proceedings of the 23</w:t>
      </w:r>
      <w:r w:rsidRPr="000C799E">
        <w:rPr>
          <w:rStyle w:val="Emphasis"/>
          <w:i w:val="0"/>
          <w:iCs w:val="0"/>
          <w:sz w:val="22"/>
          <w:szCs w:val="22"/>
          <w:vertAlign w:val="superscript"/>
        </w:rPr>
        <w:t>rd</w:t>
      </w:r>
      <w:r w:rsidRPr="000C799E">
        <w:rPr>
          <w:rStyle w:val="Emphasis"/>
          <w:i w:val="0"/>
          <w:iCs w:val="0"/>
          <w:sz w:val="22"/>
          <w:szCs w:val="22"/>
        </w:rPr>
        <w:t xml:space="preserve"> International Academic Conference, Venice</w:t>
      </w:r>
      <w:r w:rsidR="008C3E04" w:rsidRPr="007402B8">
        <w:rPr>
          <w:sz w:val="22"/>
          <w:szCs w:val="22"/>
        </w:rPr>
        <w:t xml:space="preserve"> </w:t>
      </w:r>
      <w:r w:rsidR="008C3E04" w:rsidRPr="007402B8">
        <w:rPr>
          <w:rStyle w:val="Emphasis"/>
          <w:i w:val="0"/>
          <w:sz w:val="22"/>
          <w:szCs w:val="22"/>
        </w:rPr>
        <w:t>(pp. 242-251</w:t>
      </w:r>
      <w:r w:rsidRPr="007402B8">
        <w:rPr>
          <w:rStyle w:val="Emphasis"/>
          <w:i w:val="0"/>
          <w:sz w:val="22"/>
          <w:szCs w:val="22"/>
        </w:rPr>
        <w:t>).</w:t>
      </w:r>
      <w:r w:rsidRPr="007402B8">
        <w:rPr>
          <w:sz w:val="22"/>
          <w:szCs w:val="22"/>
        </w:rPr>
        <w:t xml:space="preserve"> IISES. </w:t>
      </w:r>
      <w:r w:rsidR="00D241CE" w:rsidRPr="007402B8">
        <w:rPr>
          <w:sz w:val="22"/>
          <w:szCs w:val="22"/>
        </w:rPr>
        <w:t>&lt;</w:t>
      </w:r>
      <w:r w:rsidRPr="007402B8">
        <w:rPr>
          <w:sz w:val="22"/>
          <w:szCs w:val="22"/>
        </w:rPr>
        <w:t>https://doi.org/10.20472/IAC.2016.023.049</w:t>
      </w:r>
      <w:r w:rsidR="00D241CE" w:rsidRPr="007402B8">
        <w:rPr>
          <w:sz w:val="22"/>
          <w:szCs w:val="22"/>
        </w:rPr>
        <w:t>&gt;;</w:t>
      </w:r>
    </w:p>
    <w:p w14:paraId="55A5B4B7" w14:textId="62FFBD6A" w:rsidR="009F7C06" w:rsidRPr="007402B8" w:rsidRDefault="009F7C06" w:rsidP="007402B8">
      <w:pPr>
        <w:pStyle w:val="NormalWeb"/>
        <w:numPr>
          <w:ilvl w:val="0"/>
          <w:numId w:val="21"/>
        </w:numPr>
        <w:spacing w:before="0" w:beforeAutospacing="0" w:after="0" w:afterAutospacing="0" w:line="276" w:lineRule="auto"/>
        <w:jc w:val="both"/>
        <w:rPr>
          <w:sz w:val="22"/>
          <w:szCs w:val="22"/>
        </w:rPr>
      </w:pPr>
      <w:r w:rsidRPr="007402B8">
        <w:rPr>
          <w:rStyle w:val="Strong"/>
          <w:b w:val="0"/>
          <w:sz w:val="22"/>
          <w:szCs w:val="22"/>
        </w:rPr>
        <w:t>Keshelashvili, G.</w:t>
      </w:r>
      <w:r w:rsidRPr="007402B8">
        <w:rPr>
          <w:sz w:val="22"/>
          <w:szCs w:val="22"/>
        </w:rPr>
        <w:t xml:space="preserve"> (2017). </w:t>
      </w:r>
      <w:r w:rsidRPr="007402B8">
        <w:rPr>
          <w:rStyle w:val="Emphasis"/>
          <w:i w:val="0"/>
          <w:sz w:val="22"/>
          <w:szCs w:val="22"/>
        </w:rPr>
        <w:t>Characteristics of management of agricultural cooperatives in Georgia</w:t>
      </w:r>
      <w:r w:rsidRPr="007402B8">
        <w:rPr>
          <w:i/>
          <w:sz w:val="22"/>
          <w:szCs w:val="22"/>
        </w:rPr>
        <w:t>.</w:t>
      </w:r>
      <w:r w:rsidRPr="007402B8">
        <w:rPr>
          <w:sz w:val="22"/>
          <w:szCs w:val="22"/>
        </w:rPr>
        <w:t xml:space="preserve"> In </w:t>
      </w:r>
      <w:r w:rsidRPr="000C799E">
        <w:rPr>
          <w:rStyle w:val="Emphasis"/>
          <w:i w:val="0"/>
          <w:iCs w:val="0"/>
          <w:sz w:val="22"/>
          <w:szCs w:val="22"/>
        </w:rPr>
        <w:t>Proceedings of the 32</w:t>
      </w:r>
      <w:r w:rsidRPr="000C799E">
        <w:rPr>
          <w:rStyle w:val="Emphasis"/>
          <w:i w:val="0"/>
          <w:iCs w:val="0"/>
          <w:sz w:val="22"/>
          <w:szCs w:val="22"/>
          <w:vertAlign w:val="superscript"/>
        </w:rPr>
        <w:t>nd</w:t>
      </w:r>
      <w:r w:rsidRPr="000C799E">
        <w:rPr>
          <w:rStyle w:val="Emphasis"/>
          <w:i w:val="0"/>
          <w:iCs w:val="0"/>
          <w:sz w:val="22"/>
          <w:szCs w:val="22"/>
        </w:rPr>
        <w:t xml:space="preserve"> International Academic Conference, Geneva</w:t>
      </w:r>
      <w:r w:rsidRPr="007402B8">
        <w:rPr>
          <w:sz w:val="22"/>
          <w:szCs w:val="22"/>
        </w:rPr>
        <w:t xml:space="preserve"> (pp. 207–218). IISES. </w:t>
      </w:r>
      <w:r w:rsidR="00D241CE" w:rsidRPr="007402B8">
        <w:rPr>
          <w:sz w:val="22"/>
          <w:szCs w:val="22"/>
        </w:rPr>
        <w:t>&lt;</w:t>
      </w:r>
      <w:r w:rsidRPr="007402B8">
        <w:rPr>
          <w:sz w:val="22"/>
          <w:szCs w:val="22"/>
        </w:rPr>
        <w:t>https://doi.org/10.20472/IAC.2017.032.020</w:t>
      </w:r>
      <w:r w:rsidR="00D241CE" w:rsidRPr="007402B8">
        <w:rPr>
          <w:sz w:val="22"/>
          <w:szCs w:val="22"/>
        </w:rPr>
        <w:t>&gt;;</w:t>
      </w:r>
    </w:p>
    <w:p w14:paraId="5112BFAC" w14:textId="5EE9AAE9" w:rsidR="009F7C06" w:rsidRPr="007402B8" w:rsidRDefault="00F12043" w:rsidP="007402B8">
      <w:pPr>
        <w:pStyle w:val="NormalWeb"/>
        <w:numPr>
          <w:ilvl w:val="0"/>
          <w:numId w:val="21"/>
        </w:numPr>
        <w:spacing w:before="0" w:beforeAutospacing="0" w:after="0" w:afterAutospacing="0" w:line="276" w:lineRule="auto"/>
        <w:jc w:val="both"/>
        <w:rPr>
          <w:sz w:val="22"/>
          <w:szCs w:val="22"/>
        </w:rPr>
      </w:pPr>
      <w:r w:rsidRPr="007402B8">
        <w:rPr>
          <w:sz w:val="22"/>
          <w:szCs w:val="22"/>
        </w:rPr>
        <w:t xml:space="preserve">Keshelashvili, G. (2018). Value chain management in agribusiness. </w:t>
      </w:r>
      <w:r w:rsidRPr="007402B8">
        <w:rPr>
          <w:rStyle w:val="Emphasis"/>
          <w:i w:val="0"/>
          <w:iCs w:val="0"/>
          <w:sz w:val="22"/>
          <w:szCs w:val="22"/>
        </w:rPr>
        <w:t>International Journal of Business and Management, 6</w:t>
      </w:r>
      <w:r w:rsidRPr="007402B8">
        <w:rPr>
          <w:sz w:val="22"/>
          <w:szCs w:val="22"/>
        </w:rPr>
        <w:t>(2). &lt;https://doi.org/10.20472/BM.2018.6.2.004&gt;;</w:t>
      </w:r>
    </w:p>
    <w:p w14:paraId="5750189A" w14:textId="483C312C" w:rsidR="009F7C06" w:rsidRPr="007402B8" w:rsidRDefault="009F7C06" w:rsidP="007402B8">
      <w:pPr>
        <w:pStyle w:val="NormalWeb"/>
        <w:numPr>
          <w:ilvl w:val="0"/>
          <w:numId w:val="21"/>
        </w:numPr>
        <w:spacing w:before="0" w:beforeAutospacing="0" w:after="0" w:afterAutospacing="0" w:line="276" w:lineRule="auto"/>
        <w:jc w:val="both"/>
        <w:rPr>
          <w:sz w:val="22"/>
          <w:szCs w:val="22"/>
        </w:rPr>
      </w:pPr>
      <w:r w:rsidRPr="007402B8">
        <w:rPr>
          <w:sz w:val="22"/>
          <w:szCs w:val="22"/>
        </w:rPr>
        <w:t>Keshelashvili, G. (2024</w:t>
      </w:r>
      <w:r w:rsidRPr="007402B8">
        <w:rPr>
          <w:i/>
          <w:sz w:val="22"/>
          <w:szCs w:val="22"/>
        </w:rPr>
        <w:t xml:space="preserve">). </w:t>
      </w:r>
      <w:r w:rsidRPr="007402B8">
        <w:rPr>
          <w:rStyle w:val="Emphasis"/>
          <w:i w:val="0"/>
          <w:sz w:val="22"/>
          <w:szCs w:val="22"/>
        </w:rPr>
        <w:t>The role of business in achieving sustainable development and need of changes in managerial attitude: The case of Georgia</w:t>
      </w:r>
      <w:r w:rsidRPr="007402B8">
        <w:rPr>
          <w:sz w:val="22"/>
          <w:szCs w:val="22"/>
        </w:rPr>
        <w:t xml:space="preserve">. </w:t>
      </w:r>
      <w:r w:rsidRPr="000C799E">
        <w:rPr>
          <w:iCs/>
          <w:sz w:val="22"/>
          <w:szCs w:val="22"/>
        </w:rPr>
        <w:t>Proceedings of the International Conference on Economics, Finance &amp; Business</w:t>
      </w:r>
      <w:r w:rsidRPr="007402B8">
        <w:rPr>
          <w:sz w:val="22"/>
          <w:szCs w:val="22"/>
        </w:rPr>
        <w:t xml:space="preserve">, Vienna, 2024, pp. 37–49. International Institute of Social and Economic Sciences. </w:t>
      </w:r>
      <w:r w:rsidR="00EE3D14" w:rsidRPr="007402B8">
        <w:rPr>
          <w:sz w:val="22"/>
          <w:szCs w:val="22"/>
        </w:rPr>
        <w:t>&lt;</w:t>
      </w:r>
      <w:r w:rsidRPr="007402B8">
        <w:rPr>
          <w:sz w:val="22"/>
          <w:szCs w:val="22"/>
        </w:rPr>
        <w:t>https://doi.org/10.20472/EFC.2024.020.003</w:t>
      </w:r>
      <w:r w:rsidR="00EE3D14" w:rsidRPr="007402B8">
        <w:rPr>
          <w:sz w:val="22"/>
          <w:szCs w:val="22"/>
        </w:rPr>
        <w:t>&gt;;</w:t>
      </w:r>
      <w:r w:rsidR="00EE3D14" w:rsidRPr="007402B8">
        <w:rPr>
          <w:rStyle w:val="Hyperlink"/>
          <w:sz w:val="22"/>
          <w:szCs w:val="22"/>
        </w:rPr>
        <w:t xml:space="preserve"> </w:t>
      </w:r>
      <w:r w:rsidRPr="007402B8">
        <w:rPr>
          <w:sz w:val="22"/>
          <w:szCs w:val="22"/>
        </w:rPr>
        <w:t xml:space="preserve"> </w:t>
      </w:r>
    </w:p>
    <w:p w14:paraId="36CCB419" w14:textId="4B5A3F52" w:rsidR="009F7C06" w:rsidRPr="007402B8" w:rsidRDefault="009F7C06" w:rsidP="007402B8">
      <w:pPr>
        <w:pStyle w:val="NormalWeb"/>
        <w:numPr>
          <w:ilvl w:val="0"/>
          <w:numId w:val="21"/>
        </w:numPr>
        <w:spacing w:before="0" w:beforeAutospacing="0" w:after="0" w:afterAutospacing="0" w:line="276" w:lineRule="auto"/>
        <w:jc w:val="both"/>
        <w:rPr>
          <w:sz w:val="22"/>
          <w:szCs w:val="22"/>
        </w:rPr>
      </w:pPr>
      <w:r w:rsidRPr="007402B8">
        <w:rPr>
          <w:rStyle w:val="Strong"/>
          <w:b w:val="0"/>
          <w:sz w:val="22"/>
          <w:szCs w:val="22"/>
        </w:rPr>
        <w:lastRenderedPageBreak/>
        <w:t>Keshelashvili, G.</w:t>
      </w:r>
      <w:r w:rsidRPr="007402B8">
        <w:rPr>
          <w:sz w:val="22"/>
          <w:szCs w:val="22"/>
        </w:rPr>
        <w:t xml:space="preserve"> (2025</w:t>
      </w:r>
      <w:r w:rsidRPr="007402B8">
        <w:rPr>
          <w:i/>
          <w:sz w:val="22"/>
          <w:szCs w:val="22"/>
        </w:rPr>
        <w:t xml:space="preserve">). </w:t>
      </w:r>
      <w:r w:rsidRPr="007402B8">
        <w:rPr>
          <w:rStyle w:val="Emphasis"/>
          <w:i w:val="0"/>
          <w:sz w:val="22"/>
          <w:szCs w:val="22"/>
        </w:rPr>
        <w:t>Sustainable business practices in Georgian SMEs: Assessment, needs, and strategic perspectives</w:t>
      </w:r>
      <w:r w:rsidRPr="007402B8">
        <w:rPr>
          <w:i/>
          <w:sz w:val="22"/>
          <w:szCs w:val="22"/>
        </w:rPr>
        <w:t>.</w:t>
      </w:r>
      <w:r w:rsidRPr="007402B8">
        <w:rPr>
          <w:sz w:val="22"/>
          <w:szCs w:val="22"/>
        </w:rPr>
        <w:t xml:space="preserve"> </w:t>
      </w:r>
      <w:r w:rsidRPr="00FA0892">
        <w:rPr>
          <w:rStyle w:val="Strong"/>
          <w:b w:val="0"/>
          <w:iCs/>
          <w:sz w:val="22"/>
          <w:szCs w:val="22"/>
        </w:rPr>
        <w:t>International Journal of Social Sciences</w:t>
      </w:r>
      <w:r w:rsidRPr="007402B8">
        <w:rPr>
          <w:rStyle w:val="Strong"/>
          <w:b w:val="0"/>
          <w:sz w:val="22"/>
          <w:szCs w:val="22"/>
        </w:rPr>
        <w:t>, 14</w:t>
      </w:r>
      <w:r w:rsidRPr="007402B8">
        <w:rPr>
          <w:sz w:val="22"/>
          <w:szCs w:val="22"/>
        </w:rPr>
        <w:t xml:space="preserve">(1), 35–51. </w:t>
      </w:r>
      <w:r w:rsidR="00EE3D14" w:rsidRPr="007402B8">
        <w:rPr>
          <w:sz w:val="22"/>
          <w:szCs w:val="22"/>
        </w:rPr>
        <w:t>&lt;</w:t>
      </w:r>
      <w:r w:rsidRPr="007402B8">
        <w:rPr>
          <w:sz w:val="22"/>
          <w:szCs w:val="22"/>
        </w:rPr>
        <w:t>https://doi.org/10.52950/SS.2025.14.1.003</w:t>
      </w:r>
      <w:r w:rsidR="00EE3D14" w:rsidRPr="007402B8">
        <w:rPr>
          <w:sz w:val="22"/>
          <w:szCs w:val="22"/>
        </w:rPr>
        <w:t>&gt;</w:t>
      </w:r>
      <w:r w:rsidR="000A7C82" w:rsidRPr="007402B8">
        <w:rPr>
          <w:sz w:val="22"/>
          <w:szCs w:val="22"/>
        </w:rPr>
        <w:t>;</w:t>
      </w:r>
    </w:p>
    <w:p w14:paraId="6625E8FD" w14:textId="7E31A8E0" w:rsidR="009F7C06" w:rsidRPr="007402B8" w:rsidRDefault="00B02F8A" w:rsidP="007402B8">
      <w:pPr>
        <w:pStyle w:val="NormalWeb"/>
        <w:numPr>
          <w:ilvl w:val="0"/>
          <w:numId w:val="21"/>
        </w:numPr>
        <w:spacing w:before="0" w:beforeAutospacing="0" w:after="0" w:afterAutospacing="0" w:line="276" w:lineRule="auto"/>
        <w:jc w:val="both"/>
        <w:rPr>
          <w:sz w:val="22"/>
          <w:szCs w:val="22"/>
        </w:rPr>
      </w:pPr>
      <w:r w:rsidRPr="007402B8">
        <w:rPr>
          <w:sz w:val="22"/>
          <w:szCs w:val="22"/>
        </w:rPr>
        <w:t xml:space="preserve">Kharaishvili, E. (2020). Methodological features of determining the level of competitiveness in the agri-food sector of Georgia. </w:t>
      </w:r>
      <w:r w:rsidRPr="007402B8">
        <w:rPr>
          <w:rStyle w:val="Emphasis"/>
          <w:i w:val="0"/>
          <w:iCs w:val="0"/>
          <w:sz w:val="22"/>
          <w:szCs w:val="22"/>
        </w:rPr>
        <w:t>Globalization and Business, 5</w:t>
      </w:r>
      <w:r w:rsidRPr="007402B8">
        <w:rPr>
          <w:sz w:val="22"/>
          <w:szCs w:val="22"/>
        </w:rPr>
        <w:t>(10). &lt;https://doi.org/10.35945/gb.2020.10.004&gt;.</w:t>
      </w:r>
      <w:r w:rsidR="009F7C06" w:rsidRPr="007402B8">
        <w:rPr>
          <w:sz w:val="22"/>
          <w:szCs w:val="22"/>
        </w:rPr>
        <w:t xml:space="preserve"> </w:t>
      </w:r>
      <w:r w:rsidR="009F7C06" w:rsidRPr="00FA0892">
        <w:rPr>
          <w:rStyle w:val="Emphasis"/>
          <w:i w:val="0"/>
          <w:iCs w:val="0"/>
          <w:sz w:val="22"/>
          <w:szCs w:val="22"/>
        </w:rPr>
        <w:t>(in Georgian)</w:t>
      </w:r>
      <w:r w:rsidRPr="007402B8">
        <w:rPr>
          <w:rStyle w:val="Emphasis"/>
          <w:sz w:val="22"/>
          <w:szCs w:val="22"/>
        </w:rPr>
        <w:t>;</w:t>
      </w:r>
    </w:p>
    <w:p w14:paraId="57681DCE" w14:textId="5DD5A48D" w:rsidR="009F7C06" w:rsidRPr="007402B8" w:rsidRDefault="00E97BA1" w:rsidP="007402B8">
      <w:pPr>
        <w:pStyle w:val="NormalWeb"/>
        <w:numPr>
          <w:ilvl w:val="0"/>
          <w:numId w:val="21"/>
        </w:numPr>
        <w:spacing w:before="0" w:beforeAutospacing="0" w:after="0" w:afterAutospacing="0" w:line="276" w:lineRule="auto"/>
        <w:jc w:val="both"/>
        <w:rPr>
          <w:sz w:val="22"/>
          <w:szCs w:val="22"/>
        </w:rPr>
      </w:pPr>
      <w:r w:rsidRPr="007402B8">
        <w:rPr>
          <w:sz w:val="22"/>
          <w:szCs w:val="22"/>
        </w:rPr>
        <w:t xml:space="preserve">Kharaishvili, E., Suknishvili, M. (2021). Agribusiness development trends in Georgia: Modern challenges and solutions. </w:t>
      </w:r>
      <w:r w:rsidRPr="007402B8">
        <w:rPr>
          <w:rStyle w:val="Emphasis"/>
          <w:i w:val="0"/>
          <w:iCs w:val="0"/>
          <w:sz w:val="22"/>
          <w:szCs w:val="22"/>
        </w:rPr>
        <w:t>Economic. Ecology. Socium, 5</w:t>
      </w:r>
      <w:r w:rsidRPr="007402B8">
        <w:rPr>
          <w:sz w:val="22"/>
          <w:szCs w:val="22"/>
        </w:rPr>
        <w:t>(4). &lt;https://doi.org/10.31520/2616-7107/2021.5.4-4&gt;;</w:t>
      </w:r>
    </w:p>
    <w:p w14:paraId="504C5741" w14:textId="02B603F8" w:rsidR="009F7C06" w:rsidRPr="007402B8" w:rsidRDefault="009F7C06" w:rsidP="007402B8">
      <w:pPr>
        <w:pStyle w:val="NormalWeb"/>
        <w:numPr>
          <w:ilvl w:val="0"/>
          <w:numId w:val="21"/>
        </w:numPr>
        <w:spacing w:before="0" w:beforeAutospacing="0" w:after="0" w:afterAutospacing="0" w:line="276" w:lineRule="auto"/>
        <w:jc w:val="both"/>
        <w:rPr>
          <w:sz w:val="22"/>
          <w:szCs w:val="22"/>
        </w:rPr>
      </w:pPr>
      <w:r w:rsidRPr="007402B8">
        <w:rPr>
          <w:bCs/>
          <w:sz w:val="22"/>
          <w:szCs w:val="22"/>
        </w:rPr>
        <w:t>Kharaishvili, E., &amp; Talikadze, N.</w:t>
      </w:r>
      <w:r w:rsidRPr="007402B8">
        <w:rPr>
          <w:sz w:val="22"/>
          <w:szCs w:val="22"/>
        </w:rPr>
        <w:t xml:space="preserve"> (2022). </w:t>
      </w:r>
      <w:r w:rsidRPr="007402B8">
        <w:rPr>
          <w:iCs/>
          <w:sz w:val="22"/>
          <w:szCs w:val="22"/>
        </w:rPr>
        <w:t>Competitiveness characteristics of agri-food products – What does the consumer choose? (Case of Georgia)</w:t>
      </w:r>
      <w:r w:rsidRPr="007402B8">
        <w:rPr>
          <w:sz w:val="22"/>
          <w:szCs w:val="22"/>
        </w:rPr>
        <w:t xml:space="preserve">. </w:t>
      </w:r>
      <w:r w:rsidRPr="007402B8">
        <w:rPr>
          <w:bCs/>
          <w:sz w:val="22"/>
          <w:szCs w:val="22"/>
        </w:rPr>
        <w:t>Innovative Marketing, 18</w:t>
      </w:r>
      <w:r w:rsidRPr="007402B8">
        <w:rPr>
          <w:sz w:val="22"/>
          <w:szCs w:val="22"/>
        </w:rPr>
        <w:t xml:space="preserve">(1), 195–207. </w:t>
      </w:r>
      <w:r w:rsidR="007F3D57" w:rsidRPr="007402B8">
        <w:rPr>
          <w:sz w:val="22"/>
          <w:szCs w:val="22"/>
        </w:rPr>
        <w:t>&lt;</w:t>
      </w:r>
      <w:hyperlink r:id="rId12" w:history="1">
        <w:r w:rsidRPr="007402B8">
          <w:rPr>
            <w:sz w:val="22"/>
            <w:szCs w:val="22"/>
          </w:rPr>
          <w:t>https://doi.org/10.21511/im.18(1).2022.16</w:t>
        </w:r>
      </w:hyperlink>
      <w:r w:rsidR="007F3D57" w:rsidRPr="007402B8">
        <w:rPr>
          <w:sz w:val="22"/>
          <w:szCs w:val="22"/>
        </w:rPr>
        <w:t>&gt;</w:t>
      </w:r>
      <w:r w:rsidR="00F73817" w:rsidRPr="007402B8">
        <w:rPr>
          <w:sz w:val="22"/>
          <w:szCs w:val="22"/>
        </w:rPr>
        <w:t>;</w:t>
      </w:r>
      <w:r w:rsidRPr="007402B8">
        <w:rPr>
          <w:sz w:val="22"/>
          <w:szCs w:val="22"/>
        </w:rPr>
        <w:t xml:space="preserve"> </w:t>
      </w:r>
    </w:p>
    <w:p w14:paraId="2746382E" w14:textId="4E5F0D3F" w:rsidR="000861FE" w:rsidRPr="007402B8" w:rsidRDefault="000861FE" w:rsidP="007402B8">
      <w:pPr>
        <w:pStyle w:val="NormalWeb"/>
        <w:numPr>
          <w:ilvl w:val="0"/>
          <w:numId w:val="21"/>
        </w:numPr>
        <w:spacing w:before="0" w:beforeAutospacing="0" w:after="0" w:afterAutospacing="0" w:line="276" w:lineRule="auto"/>
        <w:jc w:val="both"/>
        <w:rPr>
          <w:sz w:val="22"/>
          <w:szCs w:val="22"/>
        </w:rPr>
      </w:pPr>
      <w:r w:rsidRPr="007402B8">
        <w:rPr>
          <w:sz w:val="22"/>
          <w:szCs w:val="22"/>
        </w:rPr>
        <w:t>Meijers, E. (2008). Measuring polycentricity and its promises. European Planning Studies, 16(9). &lt;https://doi.org/10.1080/09654310802401805&gt;;</w:t>
      </w:r>
    </w:p>
    <w:p w14:paraId="1E7AF738" w14:textId="2B734365" w:rsidR="009F7C06" w:rsidRPr="007402B8" w:rsidRDefault="0032133B"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Mekvabishvili, E. (2019). The economic role of the state in conditions of globalization. Globalization and Business, 4(8). &lt;https://doi.org/10.35945/gb.2019.08.002&gt;;</w:t>
      </w:r>
      <w:r w:rsidR="009F7C06" w:rsidRPr="007402B8">
        <w:rPr>
          <w:bCs/>
          <w:sz w:val="22"/>
          <w:szCs w:val="22"/>
        </w:rPr>
        <w:t xml:space="preserve"> </w:t>
      </w:r>
    </w:p>
    <w:p w14:paraId="6E6AE660" w14:textId="7D29E921" w:rsidR="009F7C06" w:rsidRPr="007402B8" w:rsidRDefault="009F7C06"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 xml:space="preserve">Mekvabishvili, E. (2020). The anti-crisis role of the state (Based on the experience of the global financial and corona-economic crisis). Globalization and Business, 7(10), 35–41. </w:t>
      </w:r>
      <w:r w:rsidR="000A1BAD" w:rsidRPr="007402B8">
        <w:rPr>
          <w:bCs/>
          <w:sz w:val="22"/>
          <w:szCs w:val="22"/>
        </w:rPr>
        <w:t>&lt;</w:t>
      </w:r>
      <w:r w:rsidRPr="007402B8">
        <w:rPr>
          <w:bCs/>
          <w:sz w:val="22"/>
          <w:szCs w:val="22"/>
        </w:rPr>
        <w:t>https://doi.org/10.35945/gb.2020.10.003</w:t>
      </w:r>
      <w:r w:rsidR="000A1BAD" w:rsidRPr="007402B8">
        <w:rPr>
          <w:bCs/>
          <w:sz w:val="22"/>
          <w:szCs w:val="22"/>
        </w:rPr>
        <w:t>&gt;</w:t>
      </w:r>
      <w:r w:rsidR="00FA0892">
        <w:rPr>
          <w:bCs/>
          <w:sz w:val="22"/>
          <w:szCs w:val="22"/>
        </w:rPr>
        <w:t>;</w:t>
      </w:r>
    </w:p>
    <w:p w14:paraId="1614D236" w14:textId="51BAA219" w:rsidR="009F7C06" w:rsidRPr="007402B8" w:rsidRDefault="00855FB3"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Nepal, S. K., Saarinen, J. (2016). Political ecology and tourism. Routledge;</w:t>
      </w:r>
    </w:p>
    <w:p w14:paraId="37D1134C" w14:textId="23127EE3" w:rsidR="009F7C06" w:rsidRPr="007402B8" w:rsidRDefault="005A423F"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Papava, V. (2014). The catch-up effect and regional comparisons of growth indicators: With the Eastern Partnership countries as an example. Problems of Economic Transition, 57(3). &lt;https://doi.org/10.2753/PET1061-1991570301&gt;;</w:t>
      </w:r>
    </w:p>
    <w:p w14:paraId="6ADE0E7E" w14:textId="2A496F57" w:rsidR="009F7C06" w:rsidRPr="007402B8" w:rsidRDefault="009F7C06"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Papava, V. (2014). Georgia</w:t>
      </w:r>
      <w:r w:rsidR="0070015C" w:rsidRPr="007402B8">
        <w:rPr>
          <w:bCs/>
          <w:sz w:val="22"/>
          <w:szCs w:val="22"/>
        </w:rPr>
        <w:t>’</w:t>
      </w:r>
      <w:r w:rsidRPr="007402B8">
        <w:rPr>
          <w:bCs/>
          <w:sz w:val="22"/>
          <w:szCs w:val="22"/>
        </w:rPr>
        <w:t xml:space="preserve">s economy: The search for a development model. Problems of Economic Transition, 57(3), 13–24. </w:t>
      </w:r>
      <w:r w:rsidR="0048462A" w:rsidRPr="007402B8">
        <w:rPr>
          <w:bCs/>
          <w:sz w:val="22"/>
          <w:szCs w:val="22"/>
        </w:rPr>
        <w:t>&lt;</w:t>
      </w:r>
      <w:r w:rsidRPr="007402B8">
        <w:rPr>
          <w:bCs/>
          <w:sz w:val="22"/>
          <w:szCs w:val="22"/>
        </w:rPr>
        <w:t>https://doi.org/10.2753/PET1061-1991570304</w:t>
      </w:r>
      <w:r w:rsidR="0048462A" w:rsidRPr="007402B8">
        <w:rPr>
          <w:bCs/>
          <w:sz w:val="22"/>
          <w:szCs w:val="22"/>
        </w:rPr>
        <w:t>&gt;;</w:t>
      </w:r>
    </w:p>
    <w:p w14:paraId="63DEE757" w14:textId="044042B5" w:rsidR="009F7C06" w:rsidRPr="007402B8" w:rsidRDefault="009F7C06"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Papava, V. (2017). A Eurasian or a European future for post-Soviet Georgia</w:t>
      </w:r>
      <w:r w:rsidR="0070015C" w:rsidRPr="007402B8">
        <w:rPr>
          <w:bCs/>
          <w:sz w:val="22"/>
          <w:szCs w:val="22"/>
        </w:rPr>
        <w:t>’</w:t>
      </w:r>
      <w:r w:rsidRPr="007402B8">
        <w:rPr>
          <w:bCs/>
          <w:sz w:val="22"/>
          <w:szCs w:val="22"/>
        </w:rPr>
        <w:t xml:space="preserve">s economic development: Which is better? Archives of Business Research, 5(1), 159–170. </w:t>
      </w:r>
      <w:r w:rsidR="0048462A" w:rsidRPr="007402B8">
        <w:rPr>
          <w:bCs/>
          <w:sz w:val="22"/>
          <w:szCs w:val="22"/>
        </w:rPr>
        <w:t>&lt;</w:t>
      </w:r>
      <w:r w:rsidRPr="007402B8">
        <w:rPr>
          <w:bCs/>
          <w:sz w:val="22"/>
          <w:szCs w:val="22"/>
        </w:rPr>
        <w:t>https://doi.org/10.14738/abr.51.2651</w:t>
      </w:r>
      <w:r w:rsidR="0048462A" w:rsidRPr="007402B8">
        <w:rPr>
          <w:bCs/>
          <w:sz w:val="22"/>
          <w:szCs w:val="22"/>
        </w:rPr>
        <w:t>&gt;;</w:t>
      </w:r>
    </w:p>
    <w:p w14:paraId="795DE046" w14:textId="7E7185F8" w:rsidR="009F7C06" w:rsidRPr="007402B8" w:rsidRDefault="005A423F" w:rsidP="007402B8">
      <w:pPr>
        <w:pStyle w:val="NormalWeb"/>
        <w:numPr>
          <w:ilvl w:val="0"/>
          <w:numId w:val="21"/>
        </w:numPr>
        <w:spacing w:before="0" w:beforeAutospacing="0" w:after="0" w:afterAutospacing="0" w:line="276" w:lineRule="auto"/>
        <w:jc w:val="both"/>
        <w:rPr>
          <w:bCs/>
          <w:sz w:val="22"/>
          <w:szCs w:val="22"/>
        </w:rPr>
      </w:pPr>
      <w:r w:rsidRPr="007402B8">
        <w:rPr>
          <w:bCs/>
          <w:sz w:val="22"/>
          <w:szCs w:val="22"/>
        </w:rPr>
        <w:t>Silagadze, A. (2013). Priorities for the economy of postcommunist Georgia in the context of the world financial crisis. Problems of Economic Transition, 56(8). &lt;https://doi.org/10.2753/PET1061-1991560801&gt;;</w:t>
      </w:r>
    </w:p>
    <w:p w14:paraId="4C4BAB43" w14:textId="1DF71444" w:rsidR="00DE5AC4" w:rsidRPr="007402B8" w:rsidRDefault="00643B32" w:rsidP="007402B8">
      <w:pPr>
        <w:pStyle w:val="ListParagraph"/>
        <w:numPr>
          <w:ilvl w:val="0"/>
          <w:numId w:val="21"/>
        </w:numPr>
        <w:autoSpaceDE w:val="0"/>
        <w:autoSpaceDN w:val="0"/>
        <w:adjustRightInd w:val="0"/>
        <w:spacing w:after="0" w:line="276" w:lineRule="auto"/>
        <w:jc w:val="both"/>
        <w:rPr>
          <w:rFonts w:ascii="Times New Roman" w:eastAsia="Times New Roman" w:hAnsi="Times New Roman" w:cs="Times New Roman"/>
          <w:bCs/>
        </w:rPr>
      </w:pPr>
      <w:r w:rsidRPr="007402B8">
        <w:rPr>
          <w:rFonts w:ascii="Times New Roman" w:eastAsia="Times New Roman" w:hAnsi="Times New Roman" w:cs="Times New Roman"/>
        </w:rPr>
        <w:t>Silagadze, A. (2022). Contemporary global economic trends: Transitional economies during</w:t>
      </w:r>
      <w:r w:rsidRPr="007402B8">
        <w:rPr>
          <w:rFonts w:ascii="Times New Roman" w:eastAsia="Times New Roman" w:hAnsi="Times New Roman" w:cs="Times New Roman"/>
          <w:bCs/>
        </w:rPr>
        <w:t xml:space="preserve"> </w:t>
      </w:r>
      <w:r w:rsidRPr="007402B8">
        <w:rPr>
          <w:rFonts w:ascii="Times New Roman" w:eastAsia="Times New Roman" w:hAnsi="Times New Roman" w:cs="Times New Roman"/>
        </w:rPr>
        <w:t>Covid</w:t>
      </w:r>
      <w:r w:rsidRPr="007402B8">
        <w:rPr>
          <w:rFonts w:ascii="Times New Roman" w:eastAsia="Times New Roman" w:hAnsi="Times New Roman" w:cs="Times New Roman"/>
          <w:bCs/>
        </w:rPr>
        <w:t xml:space="preserve"> </w:t>
      </w:r>
      <w:r w:rsidRPr="007402B8">
        <w:rPr>
          <w:rFonts w:ascii="Times New Roman" w:eastAsia="Times New Roman" w:hAnsi="Times New Roman" w:cs="Times New Roman"/>
        </w:rPr>
        <w:t>Depression. Bulletin of the Georgian National Academy of Sciences, 16(3)</w:t>
      </w:r>
      <w:r w:rsidRPr="007402B8">
        <w:rPr>
          <w:rFonts w:ascii="Times New Roman" w:eastAsia="Times New Roman" w:hAnsi="Times New Roman" w:cs="Times New Roman"/>
          <w:bCs/>
        </w:rPr>
        <w:t>.</w:t>
      </w:r>
    </w:p>
    <w:p w14:paraId="0EFC80B0" w14:textId="7BFA3DAC" w:rsidR="005C60E0" w:rsidRPr="0000732F" w:rsidRDefault="005C60E0" w:rsidP="0096271C">
      <w:pPr>
        <w:spacing w:after="0" w:line="276" w:lineRule="auto"/>
        <w:rPr>
          <w:rFonts w:ascii="Times New Roman" w:eastAsia="Times New Roman" w:hAnsi="Times New Roman" w:cs="Times New Roman"/>
          <w:b/>
          <w:bCs/>
        </w:rPr>
      </w:pPr>
    </w:p>
    <w:sectPr w:rsidR="005C60E0" w:rsidRPr="0000732F" w:rsidSect="00E936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A6B16" w14:textId="77777777" w:rsidR="009700B1" w:rsidRDefault="009700B1" w:rsidP="00032B0D">
      <w:pPr>
        <w:spacing w:after="0" w:line="240" w:lineRule="auto"/>
      </w:pPr>
      <w:r>
        <w:separator/>
      </w:r>
    </w:p>
  </w:endnote>
  <w:endnote w:type="continuationSeparator" w:id="0">
    <w:p w14:paraId="18101F5A" w14:textId="77777777" w:rsidR="009700B1" w:rsidRDefault="009700B1" w:rsidP="0003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370CC" w14:textId="77777777" w:rsidR="009700B1" w:rsidRDefault="009700B1" w:rsidP="00032B0D">
      <w:pPr>
        <w:spacing w:after="0" w:line="240" w:lineRule="auto"/>
      </w:pPr>
      <w:r>
        <w:separator/>
      </w:r>
    </w:p>
  </w:footnote>
  <w:footnote w:type="continuationSeparator" w:id="0">
    <w:p w14:paraId="62D7154D" w14:textId="77777777" w:rsidR="009700B1" w:rsidRDefault="009700B1" w:rsidP="00032B0D">
      <w:pPr>
        <w:spacing w:after="0" w:line="240" w:lineRule="auto"/>
      </w:pPr>
      <w:r>
        <w:continuationSeparator/>
      </w:r>
    </w:p>
  </w:footnote>
  <w:footnote w:id="1">
    <w:p w14:paraId="233C6509" w14:textId="63D90152" w:rsidR="00FA341E" w:rsidRPr="005F4798" w:rsidRDefault="00FA341E" w:rsidP="00E936C6">
      <w:pPr>
        <w:pStyle w:val="NormalWeb"/>
        <w:spacing w:before="0" w:beforeAutospacing="0" w:after="0" w:afterAutospacing="0"/>
        <w:jc w:val="both"/>
        <w:rPr>
          <w:sz w:val="18"/>
          <w:szCs w:val="18"/>
          <w:lang w:val="ka-GE"/>
        </w:rPr>
      </w:pPr>
      <w:r w:rsidRPr="005F4798">
        <w:rPr>
          <w:rStyle w:val="FootnoteReference"/>
          <w:sz w:val="18"/>
          <w:szCs w:val="18"/>
        </w:rPr>
        <w:footnoteRef/>
      </w:r>
      <w:r w:rsidRPr="005F4798">
        <w:rPr>
          <w:sz w:val="18"/>
          <w:szCs w:val="18"/>
        </w:rPr>
        <w:t xml:space="preserve"> </w:t>
      </w:r>
      <w:r w:rsidRPr="005F4798">
        <w:rPr>
          <w:rStyle w:val="Strong"/>
          <w:b w:val="0"/>
          <w:sz w:val="18"/>
          <w:szCs w:val="18"/>
        </w:rPr>
        <w:t>Fujita, M., Krugman, P., Venables, A. J. (1999).</w:t>
      </w:r>
      <w:r w:rsidRPr="005F4798">
        <w:rPr>
          <w:sz w:val="18"/>
          <w:szCs w:val="18"/>
        </w:rPr>
        <w:t xml:space="preserve"> </w:t>
      </w:r>
      <w:r w:rsidRPr="005F4798">
        <w:rPr>
          <w:rStyle w:val="Emphasis"/>
          <w:sz w:val="18"/>
          <w:szCs w:val="18"/>
        </w:rPr>
        <w:t>The spatial economy: Cities, regions, and international trade.</w:t>
      </w:r>
      <w:r w:rsidRPr="005F4798">
        <w:rPr>
          <w:sz w:val="18"/>
          <w:szCs w:val="18"/>
        </w:rPr>
        <w:t xml:space="preserve"> MIT Press.</w:t>
      </w:r>
      <w:r w:rsidR="00946450" w:rsidRPr="005F4798">
        <w:rPr>
          <w:sz w:val="18"/>
          <w:szCs w:val="18"/>
          <w:lang w:val="ka-GE"/>
        </w:rPr>
        <w:t xml:space="preserve"> </w:t>
      </w:r>
      <w:r w:rsidRPr="005F4798">
        <w:rPr>
          <w:bCs/>
          <w:sz w:val="18"/>
          <w:szCs w:val="18"/>
          <w:lang w:val="en-GB" w:eastAsia="en-GB"/>
        </w:rPr>
        <w:t>Meijers, E. (2008).</w:t>
      </w:r>
      <w:r w:rsidRPr="005F4798">
        <w:rPr>
          <w:sz w:val="18"/>
          <w:szCs w:val="18"/>
          <w:lang w:val="en-GB" w:eastAsia="en-GB"/>
        </w:rPr>
        <w:t xml:space="preserve"> Measuring polycentricity and its promises. European Planning Studies, 16(9), 1313–1323. </w:t>
      </w:r>
      <w:r w:rsidR="005752F3" w:rsidRPr="005F4798">
        <w:rPr>
          <w:sz w:val="18"/>
          <w:szCs w:val="18"/>
          <w:lang w:val="en-GB" w:eastAsia="en-GB"/>
        </w:rPr>
        <w:t>&lt;</w:t>
      </w:r>
      <w:r w:rsidR="00946450" w:rsidRPr="005F4798">
        <w:rPr>
          <w:sz w:val="18"/>
          <w:szCs w:val="18"/>
          <w:lang w:val="en-GB" w:eastAsia="en-GB"/>
        </w:rPr>
        <w:t>https://doi.org/10.1080/09654310802401805</w:t>
      </w:r>
      <w:r w:rsidR="005752F3" w:rsidRPr="005F4798">
        <w:rPr>
          <w:sz w:val="18"/>
          <w:szCs w:val="18"/>
          <w:lang w:val="ka-GE" w:eastAsia="en-GB"/>
        </w:rPr>
        <w:t>&gt;.</w:t>
      </w:r>
    </w:p>
  </w:footnote>
  <w:footnote w:id="2">
    <w:p w14:paraId="365FB2FF" w14:textId="6BF54A4F" w:rsidR="002653E3" w:rsidRPr="005F4798" w:rsidRDefault="002653E3" w:rsidP="00E936C6">
      <w:pPr>
        <w:spacing w:after="0" w:line="240" w:lineRule="auto"/>
        <w:jc w:val="both"/>
        <w:rPr>
          <w:rFonts w:cs="Times New Roman"/>
          <w:color w:val="0000FF"/>
          <w:sz w:val="18"/>
          <w:szCs w:val="18"/>
          <w:u w:val="single"/>
          <w:lang w:val="ka-GE"/>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Bedianashvili, G. (2018). Culture as a factor of knowledge economics with paradigmatic changes in systemic institutional context. </w:t>
      </w:r>
      <w:r w:rsidRPr="005F4798">
        <w:rPr>
          <w:rStyle w:val="Emphasis"/>
          <w:rFonts w:ascii="Times New Roman" w:hAnsi="Times New Roman" w:cs="Times New Roman"/>
          <w:sz w:val="18"/>
          <w:szCs w:val="18"/>
        </w:rPr>
        <w:t>Globalization and Business, 4</w:t>
      </w:r>
      <w:r w:rsidRPr="005F4798">
        <w:rPr>
          <w:rFonts w:ascii="Times New Roman" w:hAnsi="Times New Roman" w:cs="Times New Roman"/>
          <w:sz w:val="18"/>
          <w:szCs w:val="18"/>
        </w:rPr>
        <w:t xml:space="preserve">(6), 59–66. </w:t>
      </w:r>
      <w:r w:rsidR="005752F3" w:rsidRPr="005F4798">
        <w:rPr>
          <w:rFonts w:ascii="Times New Roman" w:hAnsi="Times New Roman" w:cs="Times New Roman"/>
          <w:sz w:val="18"/>
          <w:szCs w:val="18"/>
        </w:rPr>
        <w:t>&lt;</w:t>
      </w:r>
      <w:r w:rsidRPr="005F4798">
        <w:rPr>
          <w:rFonts w:ascii="Times New Roman" w:hAnsi="Times New Roman" w:cs="Times New Roman"/>
          <w:sz w:val="18"/>
          <w:szCs w:val="18"/>
        </w:rPr>
        <w:t>https://doi.org/10.35945/gb.2018.06.007</w:t>
      </w:r>
      <w:r w:rsidR="005752F3" w:rsidRPr="005F4798">
        <w:rPr>
          <w:rFonts w:ascii="Times New Roman" w:hAnsi="Times New Roman" w:cs="Times New Roman"/>
          <w:sz w:val="18"/>
          <w:szCs w:val="18"/>
        </w:rPr>
        <w:t>&gt;</w:t>
      </w:r>
      <w:r w:rsidR="0091559B" w:rsidRPr="005F4798">
        <w:rPr>
          <w:rFonts w:ascii="Times New Roman" w:hAnsi="Times New Roman" w:cs="Times New Roman"/>
          <w:sz w:val="18"/>
          <w:szCs w:val="18"/>
        </w:rPr>
        <w:t>;</w:t>
      </w:r>
      <w:r w:rsidR="005752F3" w:rsidRPr="005F4798">
        <w:rPr>
          <w:rStyle w:val="Hyperlink"/>
          <w:rFonts w:ascii="Times New Roman" w:hAnsi="Times New Roman" w:cs="Times New Roman"/>
          <w:sz w:val="18"/>
          <w:szCs w:val="18"/>
          <w:u w:val="none"/>
          <w:lang w:val="ka-GE"/>
        </w:rPr>
        <w:t xml:space="preserve"> </w:t>
      </w:r>
      <w:r w:rsidR="00EC7D2B" w:rsidRPr="005F4798">
        <w:rPr>
          <w:rFonts w:ascii="Times New Roman" w:hAnsi="Times New Roman" w:cs="Times New Roman"/>
          <w:sz w:val="18"/>
          <w:szCs w:val="18"/>
        </w:rPr>
        <w:t xml:space="preserve">Keshelashvili, G. (2018). Value chain management in agribusiness. </w:t>
      </w:r>
      <w:r w:rsidR="00EC7D2B" w:rsidRPr="005F4798">
        <w:rPr>
          <w:rStyle w:val="Emphasis"/>
          <w:rFonts w:ascii="Times New Roman" w:hAnsi="Times New Roman" w:cs="Times New Roman"/>
          <w:sz w:val="18"/>
          <w:szCs w:val="18"/>
        </w:rPr>
        <w:t>International Journal of Business and Management, 6</w:t>
      </w:r>
      <w:r w:rsidR="00EC7D2B" w:rsidRPr="005F4798">
        <w:rPr>
          <w:rFonts w:ascii="Times New Roman" w:hAnsi="Times New Roman" w:cs="Times New Roman"/>
          <w:sz w:val="18"/>
          <w:szCs w:val="18"/>
        </w:rPr>
        <w:t xml:space="preserve">(2), 59–77. </w:t>
      </w:r>
      <w:r w:rsidR="005752F3" w:rsidRPr="005F4798">
        <w:rPr>
          <w:rFonts w:ascii="Times New Roman" w:hAnsi="Times New Roman" w:cs="Times New Roman"/>
          <w:sz w:val="18"/>
          <w:szCs w:val="18"/>
        </w:rPr>
        <w:t>&lt;</w:t>
      </w:r>
      <w:r w:rsidR="00EC7D2B" w:rsidRPr="005F4798">
        <w:rPr>
          <w:rFonts w:ascii="Times New Roman" w:hAnsi="Times New Roman" w:cs="Times New Roman"/>
          <w:sz w:val="18"/>
          <w:szCs w:val="18"/>
        </w:rPr>
        <w:t>https://doi.org/10.20472/BM.2018.6.2.004</w:t>
      </w:r>
      <w:r w:rsidR="005752F3" w:rsidRPr="005F4798">
        <w:rPr>
          <w:rFonts w:ascii="Times New Roman" w:hAnsi="Times New Roman" w:cs="Times New Roman"/>
          <w:sz w:val="18"/>
          <w:szCs w:val="18"/>
        </w:rPr>
        <w:t>&gt;</w:t>
      </w:r>
      <w:r w:rsidR="0091559B" w:rsidRPr="005F4798">
        <w:rPr>
          <w:rFonts w:ascii="Times New Roman" w:hAnsi="Times New Roman" w:cs="Times New Roman"/>
          <w:sz w:val="18"/>
          <w:szCs w:val="18"/>
        </w:rPr>
        <w:t>;</w:t>
      </w:r>
      <w:r w:rsidR="005752F3" w:rsidRPr="005F4798">
        <w:rPr>
          <w:rFonts w:ascii="Times New Roman" w:hAnsi="Times New Roman" w:cs="Times New Roman"/>
          <w:color w:val="0000FF"/>
          <w:sz w:val="18"/>
          <w:szCs w:val="18"/>
          <w:lang w:val="ka-GE"/>
        </w:rPr>
        <w:t xml:space="preserve"> </w:t>
      </w:r>
      <w:r w:rsidRPr="005F4798">
        <w:rPr>
          <w:rFonts w:ascii="Times New Roman" w:hAnsi="Times New Roman" w:cs="Times New Roman"/>
          <w:sz w:val="18"/>
          <w:szCs w:val="18"/>
        </w:rPr>
        <w:t xml:space="preserve">Kharaishvili, E. (2020). Methodological features of determining the level of competitiveness in the agri-food sector of Georgia. </w:t>
      </w:r>
      <w:r w:rsidRPr="005F4798">
        <w:rPr>
          <w:rStyle w:val="Emphasis"/>
          <w:rFonts w:ascii="Times New Roman" w:hAnsi="Times New Roman" w:cs="Times New Roman"/>
          <w:sz w:val="18"/>
          <w:szCs w:val="18"/>
        </w:rPr>
        <w:t>Globalization and Business, 5</w:t>
      </w:r>
      <w:r w:rsidRPr="005F4798">
        <w:rPr>
          <w:rFonts w:ascii="Times New Roman" w:hAnsi="Times New Roman" w:cs="Times New Roman"/>
          <w:sz w:val="18"/>
          <w:szCs w:val="18"/>
        </w:rPr>
        <w:t xml:space="preserve">(10), 43–49. </w:t>
      </w:r>
      <w:r w:rsidR="005752F3" w:rsidRPr="005F4798">
        <w:rPr>
          <w:rFonts w:ascii="Times New Roman" w:hAnsi="Times New Roman" w:cs="Times New Roman"/>
          <w:sz w:val="18"/>
          <w:szCs w:val="18"/>
        </w:rPr>
        <w:t>&lt;</w:t>
      </w:r>
      <w:r w:rsidRPr="005F4798">
        <w:rPr>
          <w:rFonts w:ascii="Times New Roman" w:hAnsi="Times New Roman" w:cs="Times New Roman"/>
          <w:sz w:val="18"/>
          <w:szCs w:val="18"/>
        </w:rPr>
        <w:t>https://doi.org/10.35945/gb.2020.10.004</w:t>
      </w:r>
      <w:r w:rsidR="005752F3" w:rsidRPr="005F4798">
        <w:rPr>
          <w:rFonts w:ascii="Times New Roman" w:hAnsi="Times New Roman" w:cs="Times New Roman"/>
          <w:sz w:val="18"/>
          <w:szCs w:val="18"/>
        </w:rPr>
        <w:t>&gt;</w:t>
      </w:r>
      <w:r w:rsidR="0091559B" w:rsidRPr="005F4798">
        <w:rPr>
          <w:rFonts w:ascii="Times New Roman" w:hAnsi="Times New Roman" w:cs="Times New Roman"/>
          <w:sz w:val="18"/>
          <w:szCs w:val="18"/>
        </w:rPr>
        <w:t>;</w:t>
      </w:r>
      <w:r w:rsidR="005752F3" w:rsidRPr="005F4798">
        <w:rPr>
          <w:rFonts w:ascii="Times New Roman" w:hAnsi="Times New Roman" w:cs="Times New Roman"/>
          <w:color w:val="0000FF"/>
          <w:sz w:val="18"/>
          <w:szCs w:val="18"/>
          <w:lang w:val="ka-GE"/>
        </w:rPr>
        <w:t xml:space="preserve"> </w:t>
      </w:r>
      <w:r w:rsidRPr="005F4798">
        <w:rPr>
          <w:rFonts w:ascii="Times New Roman" w:hAnsi="Times New Roman" w:cs="Times New Roman"/>
          <w:sz w:val="18"/>
          <w:szCs w:val="18"/>
        </w:rPr>
        <w:t xml:space="preserve">Papava, V. (2014). The catch-up effect and regional comparisons of growth indicators: With the Eastern Partnership countries as an example. </w:t>
      </w:r>
      <w:r w:rsidRPr="005F4798">
        <w:rPr>
          <w:rStyle w:val="Emphasis"/>
          <w:rFonts w:ascii="Times New Roman" w:hAnsi="Times New Roman" w:cs="Times New Roman"/>
          <w:sz w:val="18"/>
          <w:szCs w:val="18"/>
        </w:rPr>
        <w:t>Problems of Economic Transition, 57</w:t>
      </w:r>
      <w:r w:rsidRPr="005F4798">
        <w:rPr>
          <w:rFonts w:ascii="Times New Roman" w:hAnsi="Times New Roman" w:cs="Times New Roman"/>
          <w:sz w:val="18"/>
          <w:szCs w:val="18"/>
        </w:rPr>
        <w:t xml:space="preserve">(3), 3–12. </w:t>
      </w:r>
      <w:r w:rsidR="005752F3" w:rsidRPr="005F4798">
        <w:rPr>
          <w:rFonts w:ascii="Times New Roman" w:hAnsi="Times New Roman" w:cs="Times New Roman"/>
          <w:sz w:val="18"/>
          <w:szCs w:val="18"/>
        </w:rPr>
        <w:t>&lt;</w:t>
      </w:r>
      <w:r w:rsidRPr="005F4798">
        <w:rPr>
          <w:rFonts w:ascii="Times New Roman" w:hAnsi="Times New Roman" w:cs="Times New Roman"/>
          <w:sz w:val="18"/>
          <w:szCs w:val="18"/>
        </w:rPr>
        <w:t>https://doi.org/10.2753/PET1061-1991570301</w:t>
      </w:r>
      <w:r w:rsidR="005752F3" w:rsidRPr="005F4798">
        <w:rPr>
          <w:rFonts w:ascii="Times New Roman" w:hAnsi="Times New Roman" w:cs="Times New Roman"/>
          <w:sz w:val="18"/>
          <w:szCs w:val="18"/>
        </w:rPr>
        <w:t>&gt;</w:t>
      </w:r>
      <w:r w:rsidR="0091559B" w:rsidRPr="005F4798">
        <w:rPr>
          <w:rFonts w:ascii="Times New Roman" w:hAnsi="Times New Roman" w:cs="Times New Roman"/>
          <w:sz w:val="18"/>
          <w:szCs w:val="18"/>
        </w:rPr>
        <w:t>;</w:t>
      </w:r>
      <w:r w:rsidR="00C906C1" w:rsidRPr="005F4798">
        <w:rPr>
          <w:rStyle w:val="Hyperlink"/>
          <w:rFonts w:cs="Times New Roman"/>
          <w:sz w:val="18"/>
          <w:szCs w:val="18"/>
          <w:u w:val="none"/>
          <w:lang w:val="ka-GE"/>
        </w:rPr>
        <w:t xml:space="preserve"> </w:t>
      </w:r>
      <w:r w:rsidRPr="005F4798">
        <w:rPr>
          <w:rFonts w:ascii="Times New Roman" w:hAnsi="Times New Roman" w:cs="Times New Roman"/>
          <w:sz w:val="18"/>
          <w:szCs w:val="18"/>
        </w:rPr>
        <w:t xml:space="preserve">Silagadze, A. (2013). Priorities for the economy of postcommunist Georgia in the context of the world financial crisis. </w:t>
      </w:r>
      <w:r w:rsidRPr="005F4798">
        <w:rPr>
          <w:rStyle w:val="Emphasis"/>
          <w:rFonts w:ascii="Times New Roman" w:hAnsi="Times New Roman" w:cs="Times New Roman"/>
          <w:sz w:val="18"/>
          <w:szCs w:val="18"/>
        </w:rPr>
        <w:t>Problems of Economic Transition, 56</w:t>
      </w:r>
      <w:r w:rsidRPr="005F4798">
        <w:rPr>
          <w:rFonts w:ascii="Times New Roman" w:hAnsi="Times New Roman" w:cs="Times New Roman"/>
          <w:sz w:val="18"/>
          <w:szCs w:val="18"/>
        </w:rPr>
        <w:t xml:space="preserve">(8), 3–16. </w:t>
      </w:r>
      <w:r w:rsidR="005752F3" w:rsidRPr="005F4798">
        <w:rPr>
          <w:rFonts w:ascii="Times New Roman" w:hAnsi="Times New Roman" w:cs="Times New Roman"/>
          <w:sz w:val="18"/>
          <w:szCs w:val="18"/>
        </w:rPr>
        <w:t>&lt;</w:t>
      </w:r>
      <w:r w:rsidRPr="005F4798">
        <w:rPr>
          <w:rFonts w:ascii="Times New Roman" w:hAnsi="Times New Roman" w:cs="Times New Roman"/>
          <w:sz w:val="18"/>
          <w:szCs w:val="18"/>
        </w:rPr>
        <w:t>https://doi.org/10.2753/PET1061-1991560801</w:t>
      </w:r>
      <w:r w:rsidR="00C906C1" w:rsidRPr="005F4798">
        <w:rPr>
          <w:rFonts w:ascii="Times New Roman" w:hAnsi="Times New Roman" w:cs="Times New Roman"/>
          <w:sz w:val="18"/>
          <w:szCs w:val="18"/>
        </w:rPr>
        <w:t>&gt;</w:t>
      </w:r>
      <w:r w:rsidR="00C906C1" w:rsidRPr="005F4798">
        <w:rPr>
          <w:rFonts w:cs="Times New Roman"/>
          <w:sz w:val="18"/>
          <w:szCs w:val="18"/>
          <w:lang w:val="ka-GE"/>
        </w:rPr>
        <w:t xml:space="preserve">; </w:t>
      </w:r>
    </w:p>
  </w:footnote>
  <w:footnote w:id="3">
    <w:p w14:paraId="43C24631" w14:textId="44D0EDC8" w:rsidR="00C906C1" w:rsidRPr="005F4798" w:rsidRDefault="005D6649" w:rsidP="00E936C6">
      <w:pPr>
        <w:pStyle w:val="FootnoteText"/>
        <w:jc w:val="both"/>
        <w:rPr>
          <w:rFonts w:ascii="Times New Roman" w:hAnsi="Times New Roman" w:cs="Times New Roman"/>
          <w:sz w:val="18"/>
          <w:szCs w:val="18"/>
          <w:lang w:val="ka-GE"/>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Jibuti, M. (2019). Administrative division, regions of Georgia and their characteristics. </w:t>
      </w:r>
      <w:r w:rsidRPr="005F4798">
        <w:rPr>
          <w:rStyle w:val="Emphasis"/>
          <w:rFonts w:ascii="Times New Roman" w:hAnsi="Times New Roman" w:cs="Times New Roman"/>
          <w:sz w:val="18"/>
          <w:szCs w:val="18"/>
        </w:rPr>
        <w:t>Globalization and Business, 4</w:t>
      </w:r>
      <w:r w:rsidRPr="005F4798">
        <w:rPr>
          <w:rFonts w:ascii="Times New Roman" w:hAnsi="Times New Roman" w:cs="Times New Roman"/>
          <w:sz w:val="18"/>
          <w:szCs w:val="18"/>
        </w:rPr>
        <w:t xml:space="preserve">(8), 126–129. </w:t>
      </w:r>
      <w:r w:rsidR="00A33ED5" w:rsidRPr="005F4798">
        <w:rPr>
          <w:rFonts w:ascii="Times New Roman" w:hAnsi="Times New Roman" w:cs="Times New Roman"/>
          <w:sz w:val="18"/>
          <w:szCs w:val="18"/>
        </w:rPr>
        <w:t>&lt;</w:t>
      </w:r>
      <w:r w:rsidRPr="005F4798">
        <w:rPr>
          <w:rFonts w:ascii="Times New Roman" w:hAnsi="Times New Roman" w:cs="Times New Roman"/>
          <w:sz w:val="18"/>
          <w:szCs w:val="18"/>
        </w:rPr>
        <w:t>https://doi.org/10.35945/gb.2019.08.016</w:t>
      </w:r>
      <w:r w:rsidR="00A33ED5" w:rsidRPr="005F4798">
        <w:rPr>
          <w:rFonts w:ascii="Times New Roman" w:hAnsi="Times New Roman" w:cs="Times New Roman"/>
          <w:sz w:val="18"/>
          <w:szCs w:val="18"/>
        </w:rPr>
        <w:t>&gt;</w:t>
      </w:r>
      <w:r w:rsidR="0091559B" w:rsidRPr="005F4798">
        <w:rPr>
          <w:rFonts w:ascii="Times New Roman" w:hAnsi="Times New Roman" w:cs="Times New Roman"/>
          <w:sz w:val="18"/>
          <w:szCs w:val="18"/>
        </w:rPr>
        <w:t>;</w:t>
      </w:r>
      <w:r w:rsidR="00A33ED5" w:rsidRPr="005F4798">
        <w:rPr>
          <w:rFonts w:ascii="Times New Roman" w:hAnsi="Times New Roman" w:cs="Times New Roman"/>
          <w:sz w:val="18"/>
          <w:szCs w:val="18"/>
        </w:rPr>
        <w:t xml:space="preserve"> </w:t>
      </w:r>
      <w:r w:rsidRPr="005F4798">
        <w:rPr>
          <w:rFonts w:ascii="Times New Roman" w:hAnsi="Times New Roman" w:cs="Times New Roman"/>
          <w:sz w:val="18"/>
          <w:szCs w:val="18"/>
        </w:rPr>
        <w:t xml:space="preserve">Mekvabishvili, E. (2019). The economic role of the state in conditions of globalization. </w:t>
      </w:r>
      <w:r w:rsidRPr="005F4798">
        <w:rPr>
          <w:rStyle w:val="Emphasis"/>
          <w:rFonts w:ascii="Times New Roman" w:hAnsi="Times New Roman" w:cs="Times New Roman"/>
          <w:sz w:val="18"/>
          <w:szCs w:val="18"/>
        </w:rPr>
        <w:t>Globalization and Business, 4</w:t>
      </w:r>
      <w:r w:rsidRPr="005F4798">
        <w:rPr>
          <w:rFonts w:ascii="Times New Roman" w:hAnsi="Times New Roman" w:cs="Times New Roman"/>
          <w:sz w:val="18"/>
          <w:szCs w:val="18"/>
        </w:rPr>
        <w:t xml:space="preserve">(8), 22–33. </w:t>
      </w:r>
      <w:r w:rsidR="00A33ED5" w:rsidRPr="005F4798">
        <w:rPr>
          <w:rFonts w:ascii="Times New Roman" w:hAnsi="Times New Roman" w:cs="Times New Roman"/>
          <w:sz w:val="18"/>
          <w:szCs w:val="18"/>
        </w:rPr>
        <w:t>&lt;</w:t>
      </w:r>
      <w:r w:rsidRPr="005F4798">
        <w:rPr>
          <w:rFonts w:ascii="Times New Roman" w:hAnsi="Times New Roman" w:cs="Times New Roman"/>
          <w:sz w:val="18"/>
          <w:szCs w:val="18"/>
        </w:rPr>
        <w:t>https://doi.org/10.35945/gb.2019.08.002</w:t>
      </w:r>
      <w:r w:rsidR="00C906C1" w:rsidRPr="005F4798">
        <w:rPr>
          <w:rFonts w:ascii="Times New Roman" w:hAnsi="Times New Roman" w:cs="Times New Roman"/>
          <w:sz w:val="18"/>
          <w:szCs w:val="18"/>
        </w:rPr>
        <w:t xml:space="preserve">&gt;; Jibuti, M. (2025). Enhancing regional development in Georgia: Integrating </w:t>
      </w:r>
      <w:r w:rsidR="00C906C1" w:rsidRPr="005F4798">
        <w:rPr>
          <w:rFonts w:ascii="Times New Roman" w:hAnsi="Times New Roman" w:cs="Times New Roman"/>
          <w:sz w:val="18"/>
          <w:szCs w:val="18"/>
          <w:lang w:val="ka-GE"/>
        </w:rPr>
        <w:t>functional spatial planning and land use modeling for sustainable economic growth. International Journal of Social Sciences, 14(1), 23–34. &lt;</w:t>
      </w:r>
      <w:hyperlink r:id="rId1" w:history="1">
        <w:r w:rsidR="00C906C1" w:rsidRPr="005F4798">
          <w:rPr>
            <w:rFonts w:ascii="Times New Roman" w:hAnsi="Times New Roman" w:cs="Times New Roman"/>
            <w:sz w:val="18"/>
            <w:szCs w:val="18"/>
            <w:lang w:val="ka-GE"/>
          </w:rPr>
          <w:t>https://doi.org/10.52950/SS.2025.14.1.002</w:t>
        </w:r>
      </w:hyperlink>
      <w:r w:rsidR="00C906C1" w:rsidRPr="005F4798">
        <w:rPr>
          <w:rFonts w:ascii="Times New Roman" w:hAnsi="Times New Roman" w:cs="Times New Roman"/>
          <w:sz w:val="18"/>
          <w:szCs w:val="18"/>
          <w:lang w:val="ka-GE"/>
        </w:rPr>
        <w:t>&gt;;</w:t>
      </w:r>
      <w:r w:rsidR="00C906C1" w:rsidRPr="005F4798">
        <w:rPr>
          <w:rFonts w:ascii="Times New Roman" w:hAnsi="Times New Roman" w:cs="Times New Roman"/>
          <w:sz w:val="18"/>
          <w:szCs w:val="18"/>
        </w:rPr>
        <w:t xml:space="preserve"> Jibuti, M. (2021). On the usage of old and modern technologies for economic sustainability. Globalization and Business, 6(11), 97-100.</w:t>
      </w:r>
      <w:r w:rsidR="00A54508" w:rsidRPr="005F4798">
        <w:rPr>
          <w:rFonts w:ascii="Times New Roman" w:hAnsi="Times New Roman" w:cs="Times New Roman"/>
          <w:sz w:val="18"/>
          <w:szCs w:val="18"/>
        </w:rPr>
        <w:t xml:space="preserve"> &lt;</w:t>
      </w:r>
      <w:hyperlink r:id="rId2" w:history="1">
        <w:r w:rsidR="00A54508" w:rsidRPr="005F4798">
          <w:rPr>
            <w:rFonts w:ascii="Times New Roman" w:hAnsi="Times New Roman" w:cs="Times New Roman"/>
            <w:sz w:val="18"/>
            <w:szCs w:val="18"/>
          </w:rPr>
          <w:t>https://doi.org/10.35945/gb.2021.11.013</w:t>
        </w:r>
      </w:hyperlink>
      <w:r w:rsidR="00A54508" w:rsidRPr="005F4798">
        <w:rPr>
          <w:rFonts w:ascii="Times New Roman" w:hAnsi="Times New Roman" w:cs="Times New Roman"/>
          <w:sz w:val="18"/>
          <w:szCs w:val="18"/>
        </w:rPr>
        <w:t xml:space="preserve">&gt;; </w:t>
      </w:r>
      <w:r w:rsidR="00C906C1" w:rsidRPr="005F4798">
        <w:rPr>
          <w:rFonts w:ascii="Times New Roman" w:hAnsi="Times New Roman" w:cs="Times New Roman"/>
          <w:sz w:val="18"/>
          <w:szCs w:val="18"/>
        </w:rPr>
        <w:t>Keshelashvili, G. (2016). General strategies of Georgian winemaking companies’ management in the conditions of integrated development. In Proceedings of the 23</w:t>
      </w:r>
      <w:r w:rsidR="00C906C1" w:rsidRPr="005F4798">
        <w:rPr>
          <w:rFonts w:ascii="Times New Roman" w:hAnsi="Times New Roman" w:cs="Times New Roman"/>
          <w:sz w:val="18"/>
          <w:szCs w:val="18"/>
          <w:vertAlign w:val="superscript"/>
        </w:rPr>
        <w:t>rd</w:t>
      </w:r>
      <w:r w:rsidR="00C906C1" w:rsidRPr="005F4798">
        <w:rPr>
          <w:rFonts w:ascii="Times New Roman" w:hAnsi="Times New Roman" w:cs="Times New Roman"/>
          <w:sz w:val="18"/>
          <w:szCs w:val="18"/>
        </w:rPr>
        <w:t xml:space="preserve"> International Academic Conf</w:t>
      </w:r>
      <w:r w:rsidR="00A54508" w:rsidRPr="005F4798">
        <w:rPr>
          <w:rFonts w:ascii="Times New Roman" w:hAnsi="Times New Roman" w:cs="Times New Roman"/>
          <w:sz w:val="18"/>
          <w:szCs w:val="18"/>
        </w:rPr>
        <w:t>erence, Venice</w:t>
      </w:r>
      <w:r w:rsidR="008C3E04" w:rsidRPr="005F4798">
        <w:rPr>
          <w:rFonts w:ascii="Times New Roman" w:hAnsi="Times New Roman" w:cs="Times New Roman"/>
          <w:sz w:val="18"/>
          <w:szCs w:val="18"/>
        </w:rPr>
        <w:t xml:space="preserve"> (pp. </w:t>
      </w:r>
      <w:r w:rsidR="00A54508" w:rsidRPr="005F4798">
        <w:rPr>
          <w:rFonts w:ascii="Times New Roman" w:hAnsi="Times New Roman" w:cs="Times New Roman"/>
          <w:sz w:val="18"/>
          <w:szCs w:val="18"/>
        </w:rPr>
        <w:t>242-251</w:t>
      </w:r>
      <w:r w:rsidR="008C3E04" w:rsidRPr="005F4798">
        <w:rPr>
          <w:rFonts w:ascii="Times New Roman" w:hAnsi="Times New Roman" w:cs="Times New Roman"/>
          <w:sz w:val="18"/>
          <w:szCs w:val="18"/>
        </w:rPr>
        <w:t>)</w:t>
      </w:r>
      <w:r w:rsidR="00A54508" w:rsidRPr="005F4798">
        <w:rPr>
          <w:rFonts w:ascii="Times New Roman" w:hAnsi="Times New Roman" w:cs="Times New Roman"/>
          <w:sz w:val="18"/>
          <w:szCs w:val="18"/>
        </w:rPr>
        <w:t xml:space="preserve">, IISES. &lt;https://doi.org/10.20472/IAC.2016.023.049&gt;; </w:t>
      </w:r>
      <w:r w:rsidR="00C906C1" w:rsidRPr="005F4798">
        <w:rPr>
          <w:rFonts w:ascii="Times New Roman" w:hAnsi="Times New Roman" w:cs="Times New Roman"/>
          <w:sz w:val="18"/>
          <w:szCs w:val="18"/>
        </w:rPr>
        <w:t>Keshelashvili, G. (2017). Characteristics of management of agricultural cooperatives in Georgia. In Proceedings of the 32nd International A</w:t>
      </w:r>
      <w:r w:rsidR="008C3E04" w:rsidRPr="005F4798">
        <w:rPr>
          <w:rFonts w:ascii="Times New Roman" w:hAnsi="Times New Roman" w:cs="Times New Roman"/>
          <w:sz w:val="18"/>
          <w:szCs w:val="18"/>
        </w:rPr>
        <w:t xml:space="preserve">cademic Conference, Geneva (pp. </w:t>
      </w:r>
      <w:r w:rsidR="00C906C1" w:rsidRPr="005F4798">
        <w:rPr>
          <w:rFonts w:ascii="Times New Roman" w:hAnsi="Times New Roman" w:cs="Times New Roman"/>
          <w:sz w:val="18"/>
          <w:szCs w:val="18"/>
        </w:rPr>
        <w:t xml:space="preserve">207–218). IISES. </w:t>
      </w:r>
      <w:r w:rsidR="00A54508" w:rsidRPr="005F4798">
        <w:rPr>
          <w:rFonts w:ascii="Times New Roman" w:hAnsi="Times New Roman" w:cs="Times New Roman"/>
          <w:sz w:val="18"/>
          <w:szCs w:val="18"/>
          <w:lang w:val="ka-GE"/>
        </w:rPr>
        <w:t>&lt;</w:t>
      </w:r>
      <w:r w:rsidR="00C906C1" w:rsidRPr="005F4798">
        <w:rPr>
          <w:rFonts w:ascii="Times New Roman" w:hAnsi="Times New Roman" w:cs="Times New Roman"/>
          <w:sz w:val="18"/>
          <w:szCs w:val="18"/>
        </w:rPr>
        <w:t>https://doi.org/10.20472/IAC.2017.032.020</w:t>
      </w:r>
      <w:r w:rsidR="00A54508" w:rsidRPr="005F4798">
        <w:rPr>
          <w:rFonts w:ascii="Times New Roman" w:hAnsi="Times New Roman" w:cs="Times New Roman"/>
          <w:sz w:val="18"/>
          <w:szCs w:val="18"/>
          <w:lang w:val="ka-GE"/>
        </w:rPr>
        <w:t>&gt;.</w:t>
      </w:r>
    </w:p>
  </w:footnote>
  <w:footnote w:id="4">
    <w:p w14:paraId="314D7411" w14:textId="59427934" w:rsidR="005449D6" w:rsidRPr="005F4798" w:rsidRDefault="005449D6" w:rsidP="003136D6">
      <w:pPr>
        <w:spacing w:after="0" w:line="240" w:lineRule="auto"/>
        <w:jc w:val="both"/>
        <w:rPr>
          <w:rFonts w:ascii="Times New Roman" w:hAnsi="Times New Roman" w:cs="Times New Roman"/>
          <w:color w:val="0000FF"/>
          <w:sz w:val="18"/>
          <w:szCs w:val="18"/>
          <w:u w:val="single"/>
          <w:lang w:val="ka-GE"/>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Papava, V. (2014). The catch-up effect and regional comparisons of growth indicators: With the Eastern Partnership countries as an example. </w:t>
      </w:r>
      <w:r w:rsidRPr="005F4798">
        <w:rPr>
          <w:rStyle w:val="Emphasis"/>
          <w:rFonts w:ascii="Times New Roman" w:hAnsi="Times New Roman" w:cs="Times New Roman"/>
          <w:sz w:val="18"/>
          <w:szCs w:val="18"/>
        </w:rPr>
        <w:t>Problems of Economic Transition, 57</w:t>
      </w:r>
      <w:r w:rsidRPr="005F4798">
        <w:rPr>
          <w:rFonts w:ascii="Times New Roman" w:hAnsi="Times New Roman" w:cs="Times New Roman"/>
          <w:sz w:val="18"/>
          <w:szCs w:val="18"/>
        </w:rPr>
        <w:t xml:space="preserve">(3), 3–12. </w:t>
      </w:r>
      <w:r w:rsidR="00A33ED5" w:rsidRPr="005F4798">
        <w:rPr>
          <w:rFonts w:ascii="Times New Roman" w:hAnsi="Times New Roman" w:cs="Times New Roman"/>
          <w:sz w:val="18"/>
          <w:szCs w:val="18"/>
        </w:rPr>
        <w:t>&lt;</w:t>
      </w:r>
      <w:r w:rsidRPr="005F4798">
        <w:rPr>
          <w:rFonts w:ascii="Times New Roman" w:hAnsi="Times New Roman" w:cs="Times New Roman"/>
          <w:sz w:val="18"/>
          <w:szCs w:val="18"/>
        </w:rPr>
        <w:t>https://doi.org/10.2753/PET1061-1991570301</w:t>
      </w:r>
      <w:r w:rsidR="00A33ED5" w:rsidRPr="005F4798">
        <w:rPr>
          <w:rFonts w:ascii="Times New Roman" w:hAnsi="Times New Roman" w:cs="Times New Roman"/>
          <w:sz w:val="18"/>
          <w:szCs w:val="18"/>
        </w:rPr>
        <w:t>&gt;.</w:t>
      </w:r>
    </w:p>
  </w:footnote>
  <w:footnote w:id="5">
    <w:p w14:paraId="3BFB9565" w14:textId="7E62735A" w:rsidR="005449D6" w:rsidRPr="005F4798" w:rsidRDefault="005449D6" w:rsidP="00E936C6">
      <w:pPr>
        <w:pStyle w:val="FootnoteText"/>
        <w:jc w:val="both"/>
        <w:rPr>
          <w:rFonts w:ascii="Times New Roman" w:hAnsi="Times New Roman" w:cs="Times New Roman"/>
          <w:sz w:val="18"/>
          <w:szCs w:val="18"/>
          <w:lang w:val="ka-GE"/>
        </w:rPr>
      </w:pPr>
      <w:r w:rsidRPr="005F4798">
        <w:rPr>
          <w:rStyle w:val="FootnoteReference"/>
          <w:rFonts w:ascii="Times New Roman" w:hAnsi="Times New Roman" w:cs="Times New Roman"/>
          <w:sz w:val="18"/>
          <w:szCs w:val="18"/>
        </w:rPr>
        <w:footnoteRef/>
      </w:r>
      <w:r w:rsidRPr="005F4798">
        <w:rPr>
          <w:rStyle w:val="FootnoteReference"/>
          <w:rFonts w:ascii="Times New Roman" w:hAnsi="Times New Roman" w:cs="Times New Roman"/>
          <w:sz w:val="18"/>
          <w:szCs w:val="18"/>
        </w:rPr>
        <w:t xml:space="preserve"> </w:t>
      </w:r>
      <w:r w:rsidRPr="005F4798">
        <w:rPr>
          <w:rStyle w:val="FootnoteReference"/>
          <w:rFonts w:ascii="Times New Roman" w:hAnsi="Times New Roman" w:cs="Times New Roman"/>
          <w:bCs/>
          <w:sz w:val="18"/>
          <w:szCs w:val="18"/>
          <w:vertAlign w:val="baseline"/>
          <w:lang w:val="ka-GE"/>
        </w:rPr>
        <w:t>Silagadze, A.</w:t>
      </w:r>
      <w:r w:rsidRPr="005F4798">
        <w:rPr>
          <w:rStyle w:val="FootnoteReference"/>
          <w:rFonts w:ascii="Times New Roman" w:hAnsi="Times New Roman" w:cs="Times New Roman"/>
          <w:sz w:val="18"/>
          <w:szCs w:val="18"/>
          <w:vertAlign w:val="baseline"/>
          <w:lang w:val="ka-GE"/>
        </w:rPr>
        <w:t xml:space="preserve"> (2013). Priorities for the economy of postcommunist Georgia in the context of the world financial crisis. </w:t>
      </w:r>
      <w:r w:rsidRPr="005F4798">
        <w:rPr>
          <w:rStyle w:val="FootnoteReference"/>
          <w:rFonts w:ascii="Times New Roman" w:hAnsi="Times New Roman" w:cs="Times New Roman"/>
          <w:bCs/>
          <w:sz w:val="18"/>
          <w:szCs w:val="18"/>
          <w:vertAlign w:val="baseline"/>
          <w:lang w:val="ka-GE"/>
        </w:rPr>
        <w:t>Problems of Economic Transition, 56</w:t>
      </w:r>
      <w:r w:rsidRPr="005F4798">
        <w:rPr>
          <w:rStyle w:val="FootnoteReference"/>
          <w:rFonts w:ascii="Times New Roman" w:hAnsi="Times New Roman" w:cs="Times New Roman"/>
          <w:sz w:val="18"/>
          <w:szCs w:val="18"/>
          <w:vertAlign w:val="baseline"/>
          <w:lang w:val="ka-GE"/>
        </w:rPr>
        <w:t xml:space="preserve">(8), 3–16. </w:t>
      </w:r>
      <w:r w:rsidR="00A33ED5" w:rsidRPr="005F4798">
        <w:rPr>
          <w:rFonts w:ascii="Times New Roman" w:hAnsi="Times New Roman" w:cs="Times New Roman"/>
          <w:sz w:val="18"/>
          <w:szCs w:val="18"/>
          <w:lang w:val="ka-GE"/>
        </w:rPr>
        <w:t>&lt;</w:t>
      </w:r>
      <w:r w:rsidRPr="005F4798">
        <w:rPr>
          <w:rFonts w:ascii="Times New Roman" w:hAnsi="Times New Roman" w:cs="Times New Roman"/>
          <w:sz w:val="18"/>
          <w:szCs w:val="18"/>
          <w:lang w:val="ka-GE"/>
        </w:rPr>
        <w:t>https://doi.org/10.2753/PET1061-1991560801</w:t>
      </w:r>
      <w:r w:rsidR="00A33ED5" w:rsidRPr="005F4798">
        <w:rPr>
          <w:rFonts w:ascii="Times New Roman" w:hAnsi="Times New Roman" w:cs="Times New Roman"/>
          <w:sz w:val="18"/>
          <w:szCs w:val="18"/>
          <w:lang w:val="ka-GE"/>
        </w:rPr>
        <w:t>&gt;</w:t>
      </w:r>
      <w:r w:rsidR="0091559B" w:rsidRPr="005F4798">
        <w:rPr>
          <w:rFonts w:ascii="Times New Roman" w:hAnsi="Times New Roman" w:cs="Times New Roman"/>
          <w:sz w:val="18"/>
          <w:szCs w:val="18"/>
          <w:lang w:val="ka-GE"/>
        </w:rPr>
        <w:t>;</w:t>
      </w:r>
      <w:r w:rsidR="00A33ED5" w:rsidRPr="005F4798">
        <w:rPr>
          <w:rStyle w:val="FootnoteReference"/>
          <w:rFonts w:ascii="Times New Roman" w:hAnsi="Times New Roman" w:cs="Times New Roman"/>
          <w:sz w:val="18"/>
          <w:szCs w:val="18"/>
          <w:vertAlign w:val="baseline"/>
          <w:lang w:val="ka-GE"/>
        </w:rPr>
        <w:t xml:space="preserve"> </w:t>
      </w:r>
      <w:r w:rsidRPr="005F4798">
        <w:rPr>
          <w:rStyle w:val="FootnoteReference"/>
          <w:rFonts w:ascii="Times New Roman" w:hAnsi="Times New Roman" w:cs="Times New Roman"/>
          <w:bCs/>
          <w:sz w:val="18"/>
          <w:szCs w:val="18"/>
          <w:vertAlign w:val="baseline"/>
        </w:rPr>
        <w:t>Silagadze, A. (2022). Contemporary global economic trends: Transitional economies during</w:t>
      </w:r>
      <w:r w:rsidR="00A33ED5" w:rsidRPr="005F4798">
        <w:rPr>
          <w:rStyle w:val="FootnoteReference"/>
          <w:rFonts w:ascii="Times New Roman" w:hAnsi="Times New Roman" w:cs="Times New Roman"/>
          <w:sz w:val="18"/>
          <w:szCs w:val="18"/>
          <w:vertAlign w:val="baseline"/>
          <w:lang w:val="ka-GE"/>
        </w:rPr>
        <w:t xml:space="preserve"> </w:t>
      </w:r>
      <w:r w:rsidRPr="005F4798">
        <w:rPr>
          <w:rStyle w:val="FootnoteReference"/>
          <w:rFonts w:ascii="Times New Roman" w:hAnsi="Times New Roman" w:cs="Times New Roman"/>
          <w:bCs/>
          <w:sz w:val="18"/>
          <w:szCs w:val="18"/>
          <w:vertAlign w:val="baseline"/>
        </w:rPr>
        <w:t>Covid</w:t>
      </w:r>
      <w:r w:rsidR="00A33ED5" w:rsidRPr="005F4798">
        <w:rPr>
          <w:rFonts w:ascii="Times New Roman" w:hAnsi="Times New Roman" w:cs="Times New Roman"/>
          <w:bCs/>
          <w:sz w:val="18"/>
          <w:szCs w:val="18"/>
        </w:rPr>
        <w:t xml:space="preserve"> </w:t>
      </w:r>
      <w:r w:rsidRPr="005F4798">
        <w:rPr>
          <w:rStyle w:val="FootnoteReference"/>
          <w:rFonts w:ascii="Times New Roman" w:hAnsi="Times New Roman" w:cs="Times New Roman"/>
          <w:bCs/>
          <w:sz w:val="18"/>
          <w:szCs w:val="18"/>
          <w:vertAlign w:val="baseline"/>
        </w:rPr>
        <w:t>Depression. Bulletin of the Georgian National Academy of Sciences, 16(3), pp.130–135.</w:t>
      </w:r>
    </w:p>
  </w:footnote>
  <w:footnote w:id="6">
    <w:p w14:paraId="2FBAEA32" w14:textId="24AF1A3F" w:rsidR="003667E5" w:rsidRPr="005F4798" w:rsidRDefault="003667E5" w:rsidP="00E936C6">
      <w:pPr>
        <w:pStyle w:val="FootnoteText"/>
        <w:jc w:val="both"/>
        <w:rPr>
          <w:rFonts w:ascii="Times New Roman" w:hAnsi="Times New Roman" w:cs="Times New Roman"/>
          <w:sz w:val="18"/>
          <w:szCs w:val="18"/>
          <w:lang w:val="en-GB"/>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Kharaishvili, E., Suknishvili, M. (2021). Agribusiness development trends in Georgia: Modern challenges and solutions. </w:t>
      </w:r>
      <w:r w:rsidRPr="005F4798">
        <w:rPr>
          <w:rStyle w:val="Emphasis"/>
          <w:rFonts w:ascii="Times New Roman" w:hAnsi="Times New Roman" w:cs="Times New Roman"/>
          <w:sz w:val="18"/>
          <w:szCs w:val="18"/>
        </w:rPr>
        <w:t>Economic. Ecology. Socium, 5</w:t>
      </w:r>
      <w:r w:rsidRPr="005F4798">
        <w:rPr>
          <w:rFonts w:ascii="Times New Roman" w:hAnsi="Times New Roman" w:cs="Times New Roman"/>
          <w:sz w:val="18"/>
          <w:szCs w:val="18"/>
        </w:rPr>
        <w:t xml:space="preserve">(4), 29–38. </w:t>
      </w:r>
      <w:r w:rsidR="00A33ED5" w:rsidRPr="005F4798">
        <w:rPr>
          <w:rFonts w:ascii="Times New Roman" w:hAnsi="Times New Roman" w:cs="Times New Roman"/>
          <w:sz w:val="18"/>
          <w:szCs w:val="18"/>
        </w:rPr>
        <w:t>&lt;</w:t>
      </w:r>
      <w:r w:rsidRPr="005F4798">
        <w:rPr>
          <w:rFonts w:ascii="Times New Roman" w:hAnsi="Times New Roman" w:cs="Times New Roman"/>
          <w:sz w:val="18"/>
          <w:szCs w:val="18"/>
        </w:rPr>
        <w:t>https://doi.org/10.31520/2616-7107/2021.5.4-4</w:t>
      </w:r>
      <w:r w:rsidR="00A33ED5" w:rsidRPr="005F4798">
        <w:rPr>
          <w:rFonts w:ascii="Times New Roman" w:hAnsi="Times New Roman" w:cs="Times New Roman"/>
          <w:sz w:val="18"/>
          <w:szCs w:val="18"/>
        </w:rPr>
        <w:t>&gt;.</w:t>
      </w:r>
    </w:p>
  </w:footnote>
  <w:footnote w:id="7">
    <w:p w14:paraId="0E08C1C3" w14:textId="3952CF9B" w:rsidR="00CE5024" w:rsidRPr="005F4798" w:rsidRDefault="00CE5024" w:rsidP="00E936C6">
      <w:pPr>
        <w:pStyle w:val="FootnoteText"/>
        <w:jc w:val="both"/>
        <w:rPr>
          <w:rFonts w:ascii="Times New Roman" w:hAnsi="Times New Roman" w:cs="Times New Roman"/>
          <w:sz w:val="18"/>
          <w:szCs w:val="18"/>
          <w:lang w:val="en-GB"/>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Nepal, S. K., Saarinen, J. (2016). </w:t>
      </w:r>
      <w:r w:rsidRPr="005F4798">
        <w:rPr>
          <w:rStyle w:val="Emphasis"/>
          <w:rFonts w:ascii="Times New Roman" w:hAnsi="Times New Roman" w:cs="Times New Roman"/>
          <w:sz w:val="18"/>
          <w:szCs w:val="18"/>
        </w:rPr>
        <w:t>Political ecology and tourism</w:t>
      </w:r>
      <w:r w:rsidRPr="005F4798">
        <w:rPr>
          <w:rFonts w:ascii="Times New Roman" w:hAnsi="Times New Roman" w:cs="Times New Roman"/>
          <w:sz w:val="18"/>
          <w:szCs w:val="18"/>
        </w:rPr>
        <w:t>. Routledge.</w:t>
      </w:r>
    </w:p>
  </w:footnote>
  <w:footnote w:id="8">
    <w:p w14:paraId="25B20C2A" w14:textId="2039E08A" w:rsidR="0037305A" w:rsidRPr="005F4798" w:rsidRDefault="0037305A" w:rsidP="00E936C6">
      <w:pPr>
        <w:pStyle w:val="FootnoteText"/>
        <w:jc w:val="both"/>
        <w:rPr>
          <w:rFonts w:ascii="Times New Roman" w:hAnsi="Times New Roman" w:cs="Times New Roman"/>
          <w:sz w:val="18"/>
          <w:szCs w:val="18"/>
          <w:lang w:val="en-GB"/>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Barca, F. (2009). </w:t>
      </w:r>
      <w:r w:rsidRPr="005F4798">
        <w:rPr>
          <w:rStyle w:val="Emphasis"/>
          <w:rFonts w:ascii="Times New Roman" w:hAnsi="Times New Roman" w:cs="Times New Roman"/>
          <w:sz w:val="18"/>
          <w:szCs w:val="18"/>
        </w:rPr>
        <w:t>An agenda for a reformed cohesion policy: A place-based approach to meeting European Union challenges and expectations</w:t>
      </w:r>
      <w:r w:rsidRPr="005F4798">
        <w:rPr>
          <w:rFonts w:ascii="Times New Roman" w:hAnsi="Times New Roman" w:cs="Times New Roman"/>
          <w:sz w:val="18"/>
          <w:szCs w:val="18"/>
        </w:rPr>
        <w:t>. European Commission</w:t>
      </w:r>
      <w:r w:rsidR="00A33ED5" w:rsidRPr="005F4798">
        <w:rPr>
          <w:rFonts w:ascii="Times New Roman" w:hAnsi="Times New Roman" w:cs="Times New Roman"/>
          <w:sz w:val="18"/>
          <w:szCs w:val="18"/>
        </w:rPr>
        <w:t>.</w:t>
      </w:r>
    </w:p>
  </w:footnote>
  <w:footnote w:id="9">
    <w:p w14:paraId="15993B02" w14:textId="79CCCC18" w:rsidR="00AF0503" w:rsidRPr="005F4798" w:rsidRDefault="00AF0503" w:rsidP="00E115B5">
      <w:pPr>
        <w:pStyle w:val="FootnoteText"/>
        <w:jc w:val="both"/>
        <w:rPr>
          <w:rFonts w:ascii="Times New Roman" w:hAnsi="Times New Roman" w:cs="Times New Roman"/>
          <w:sz w:val="18"/>
          <w:szCs w:val="18"/>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Bedianashvili, G. (2022). The problem of assessing the expected consequences of economic policy. Globalization and Business, 7(13), 17–24. &lt;https://doi.org/10.35945/gb.2022.13.002&gt; (in Georgian); Bedianashvili, G., Ivanov, Y. B.</w:t>
      </w:r>
      <w:r w:rsidR="007402B8" w:rsidRPr="005F4798">
        <w:rPr>
          <w:rFonts w:ascii="Times New Roman" w:hAnsi="Times New Roman" w:cs="Times New Roman"/>
          <w:sz w:val="18"/>
          <w:szCs w:val="18"/>
        </w:rPr>
        <w:t>,</w:t>
      </w:r>
      <w:r w:rsidRPr="005F4798">
        <w:rPr>
          <w:rFonts w:ascii="Times New Roman" w:hAnsi="Times New Roman" w:cs="Times New Roman"/>
          <w:sz w:val="18"/>
          <w:szCs w:val="18"/>
        </w:rPr>
        <w:t xml:space="preserve"> Paientko, T. V. (2019). Tax reforms in Ukraine and Georgia: Changing priorities. Journal of Tax Reform, 5(2), 107–128. &lt;https://doi.org/10.15826/jtr.2019.5.2.063&gt;; Mekvabishvili, E. (2020). The anti-crisis role of the state (Based on the experience of the global financial and corona-economic crisis). Globalization and Business, 7(10), 35–41. &lt;https://doi.org/10.35945/gb.2020.10.003&gt;; Papava, V. (2014). Georgia’s economy: The search for a development model. Problems of Economic Transition, 57(3), 13–24. &lt;https://doi.org/10.2753/PET1061-1991570304&gt;; Papava, V. (2017). A Eurasian or a European future for post-Soviet Georgia’s economic development: Which is better? Archives of Business Research, 5(1), 159–170. &lt;https://doi.org/10.14738/abr.51.2651&gt;. </w:t>
      </w:r>
    </w:p>
  </w:footnote>
  <w:footnote w:id="10">
    <w:p w14:paraId="48D28748" w14:textId="0BD28958" w:rsidR="003F4BAC" w:rsidRPr="005F4798" w:rsidRDefault="003F4BAC" w:rsidP="00E936C6">
      <w:pPr>
        <w:pStyle w:val="NormalWeb"/>
        <w:spacing w:before="0" w:beforeAutospacing="0" w:after="0" w:afterAutospacing="0"/>
        <w:jc w:val="both"/>
        <w:rPr>
          <w:sz w:val="18"/>
          <w:szCs w:val="18"/>
        </w:rPr>
      </w:pPr>
      <w:r w:rsidRPr="005F4798">
        <w:rPr>
          <w:rStyle w:val="FootnoteReference"/>
          <w:sz w:val="18"/>
          <w:szCs w:val="18"/>
        </w:rPr>
        <w:footnoteRef/>
      </w:r>
      <w:r w:rsidRPr="005F4798">
        <w:rPr>
          <w:sz w:val="18"/>
          <w:szCs w:val="18"/>
        </w:rPr>
        <w:t xml:space="preserve"> ESPON. (2019). </w:t>
      </w:r>
      <w:r w:rsidRPr="005F4798">
        <w:rPr>
          <w:rStyle w:val="Emphasis"/>
          <w:sz w:val="18"/>
          <w:szCs w:val="18"/>
        </w:rPr>
        <w:t>ESPON Policy Brief: The territorial dimension of future EU policies</w:t>
      </w:r>
      <w:r w:rsidRPr="005F4798">
        <w:rPr>
          <w:sz w:val="18"/>
          <w:szCs w:val="18"/>
        </w:rPr>
        <w:t>. European Spatial Planning Observatory Network.</w:t>
      </w:r>
      <w:r w:rsidR="00A33ED5" w:rsidRPr="005F4798">
        <w:rPr>
          <w:sz w:val="18"/>
          <w:szCs w:val="18"/>
        </w:rPr>
        <w:t xml:space="preserve"> </w:t>
      </w:r>
      <w:r w:rsidRPr="005F4798">
        <w:rPr>
          <w:sz w:val="18"/>
          <w:szCs w:val="18"/>
        </w:rPr>
        <w:t xml:space="preserve">Meijers, E. (2008). Measuring polycentricity and its promises. </w:t>
      </w:r>
      <w:r w:rsidRPr="005F4798">
        <w:rPr>
          <w:rStyle w:val="Emphasis"/>
          <w:sz w:val="18"/>
          <w:szCs w:val="18"/>
        </w:rPr>
        <w:t>European Planning Studies, 16</w:t>
      </w:r>
      <w:r w:rsidRPr="005F4798">
        <w:rPr>
          <w:sz w:val="18"/>
          <w:szCs w:val="18"/>
        </w:rPr>
        <w:t xml:space="preserve">(9), 1313–1323. </w:t>
      </w:r>
      <w:r w:rsidR="00A33ED5" w:rsidRPr="005F4798">
        <w:rPr>
          <w:sz w:val="18"/>
          <w:szCs w:val="18"/>
        </w:rPr>
        <w:t>&lt;</w:t>
      </w:r>
      <w:r w:rsidRPr="005F4798">
        <w:rPr>
          <w:sz w:val="18"/>
          <w:szCs w:val="18"/>
        </w:rPr>
        <w:t>https://doi.org/10.1080/09654310802401805</w:t>
      </w:r>
      <w:r w:rsidR="00A33ED5" w:rsidRPr="005F4798">
        <w:rPr>
          <w:sz w:val="18"/>
          <w:szCs w:val="18"/>
        </w:rPr>
        <w:t>&gt;.</w:t>
      </w:r>
    </w:p>
  </w:footnote>
  <w:footnote w:id="11">
    <w:p w14:paraId="09A4B0BD" w14:textId="3C16D327" w:rsidR="00B84815" w:rsidRPr="005F4798" w:rsidRDefault="00B84815" w:rsidP="00E936C6">
      <w:pPr>
        <w:pStyle w:val="FootnoteText"/>
        <w:jc w:val="both"/>
        <w:rPr>
          <w:rFonts w:ascii="Times New Roman" w:hAnsi="Times New Roman" w:cs="Times New Roman"/>
          <w:sz w:val="18"/>
          <w:szCs w:val="18"/>
          <w:lang w:val="en-GB"/>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Fujita, M., Krugman, P., Venables, A. J. (1999). </w:t>
      </w:r>
      <w:r w:rsidRPr="005F4798">
        <w:rPr>
          <w:rStyle w:val="Emphasis"/>
          <w:rFonts w:ascii="Times New Roman" w:hAnsi="Times New Roman" w:cs="Times New Roman"/>
          <w:sz w:val="18"/>
          <w:szCs w:val="18"/>
        </w:rPr>
        <w:t>The spatial economy: Cities, regions, and international trade</w:t>
      </w:r>
      <w:r w:rsidRPr="005F4798">
        <w:rPr>
          <w:rFonts w:ascii="Times New Roman" w:hAnsi="Times New Roman" w:cs="Times New Roman"/>
          <w:sz w:val="18"/>
          <w:szCs w:val="18"/>
        </w:rPr>
        <w:t>. MIT Press.</w:t>
      </w:r>
    </w:p>
  </w:footnote>
  <w:footnote w:id="12">
    <w:p w14:paraId="1FD7D3A0" w14:textId="606B6E47" w:rsidR="004518E0" w:rsidRPr="005F4798" w:rsidRDefault="004518E0" w:rsidP="00E936C6">
      <w:pPr>
        <w:pStyle w:val="FootnoteText"/>
        <w:jc w:val="both"/>
        <w:rPr>
          <w:rFonts w:ascii="Times New Roman" w:hAnsi="Times New Roman" w:cs="Times New Roman"/>
          <w:color w:val="0000FF"/>
          <w:sz w:val="18"/>
          <w:szCs w:val="18"/>
          <w:u w:val="single"/>
        </w:rPr>
      </w:pPr>
      <w:r w:rsidRPr="005F4798">
        <w:rPr>
          <w:rStyle w:val="FootnoteReference"/>
          <w:rFonts w:ascii="Times New Roman" w:hAnsi="Times New Roman" w:cs="Times New Roman"/>
          <w:sz w:val="18"/>
          <w:szCs w:val="18"/>
        </w:rPr>
        <w:footnoteRef/>
      </w:r>
      <w:r w:rsidR="00EE3D14" w:rsidRPr="005F4798">
        <w:rPr>
          <w:rFonts w:ascii="Times New Roman" w:hAnsi="Times New Roman" w:cs="Times New Roman"/>
          <w:sz w:val="18"/>
          <w:szCs w:val="18"/>
        </w:rPr>
        <w:t xml:space="preserve"> </w:t>
      </w:r>
      <w:r w:rsidRPr="005F4798">
        <w:rPr>
          <w:rFonts w:ascii="Times New Roman" w:hAnsi="Times New Roman" w:cs="Times New Roman"/>
          <w:sz w:val="18"/>
          <w:szCs w:val="18"/>
        </w:rPr>
        <w:t xml:space="preserve">Amin, A. (2004). Regions unbound: Towards a new politics of place. </w:t>
      </w:r>
      <w:r w:rsidRPr="005F4798">
        <w:rPr>
          <w:rStyle w:val="Emphasis"/>
          <w:rFonts w:ascii="Times New Roman" w:hAnsi="Times New Roman" w:cs="Times New Roman"/>
          <w:sz w:val="18"/>
          <w:szCs w:val="18"/>
        </w:rPr>
        <w:t>Geografiska Annaler: Series B, Human Geography, 86</w:t>
      </w:r>
      <w:r w:rsidRPr="005F4798">
        <w:rPr>
          <w:rFonts w:ascii="Times New Roman" w:hAnsi="Times New Roman" w:cs="Times New Roman"/>
          <w:sz w:val="18"/>
          <w:szCs w:val="18"/>
        </w:rPr>
        <w:t xml:space="preserve">(1), 33–44. </w:t>
      </w:r>
      <w:r w:rsidR="00A33ED5" w:rsidRPr="005F4798">
        <w:rPr>
          <w:rFonts w:ascii="Times New Roman" w:hAnsi="Times New Roman" w:cs="Times New Roman"/>
          <w:sz w:val="18"/>
          <w:szCs w:val="18"/>
        </w:rPr>
        <w:t>&lt;</w:t>
      </w:r>
      <w:r w:rsidRPr="005F4798">
        <w:rPr>
          <w:rFonts w:ascii="Times New Roman" w:hAnsi="Times New Roman" w:cs="Times New Roman"/>
          <w:sz w:val="18"/>
          <w:szCs w:val="18"/>
        </w:rPr>
        <w:t>https://doi.org/10.1111/j.0435-3684.2004.00152.x</w:t>
      </w:r>
      <w:r w:rsidR="00A33ED5" w:rsidRPr="005F4798">
        <w:rPr>
          <w:rFonts w:ascii="Times New Roman" w:hAnsi="Times New Roman" w:cs="Times New Roman"/>
          <w:sz w:val="18"/>
          <w:szCs w:val="18"/>
        </w:rPr>
        <w:t>&gt;</w:t>
      </w:r>
      <w:r w:rsidR="0091559B" w:rsidRPr="005F4798">
        <w:rPr>
          <w:rFonts w:ascii="Times New Roman" w:hAnsi="Times New Roman" w:cs="Times New Roman"/>
          <w:sz w:val="18"/>
          <w:szCs w:val="18"/>
        </w:rPr>
        <w:t>;</w:t>
      </w:r>
      <w:r w:rsidR="00A33ED5" w:rsidRPr="005F4798">
        <w:rPr>
          <w:rStyle w:val="Hyperlink"/>
          <w:rFonts w:ascii="Times New Roman" w:hAnsi="Times New Roman" w:cs="Times New Roman"/>
          <w:sz w:val="18"/>
          <w:szCs w:val="18"/>
          <w:u w:val="none"/>
        </w:rPr>
        <w:t xml:space="preserve"> </w:t>
      </w:r>
      <w:r w:rsidRPr="005F4798">
        <w:rPr>
          <w:rFonts w:ascii="Times New Roman" w:hAnsi="Times New Roman" w:cs="Times New Roman"/>
          <w:sz w:val="18"/>
          <w:szCs w:val="18"/>
        </w:rPr>
        <w:t>Barc</w:t>
      </w:r>
      <w:r w:rsidR="002C0A49" w:rsidRPr="005F4798">
        <w:rPr>
          <w:rFonts w:ascii="Times New Roman" w:hAnsi="Times New Roman" w:cs="Times New Roman"/>
          <w:sz w:val="18"/>
          <w:szCs w:val="18"/>
        </w:rPr>
        <w:t xml:space="preserve">a, F. </w:t>
      </w:r>
      <w:r w:rsidRPr="005F4798">
        <w:rPr>
          <w:rFonts w:ascii="Times New Roman" w:hAnsi="Times New Roman" w:cs="Times New Roman"/>
          <w:sz w:val="18"/>
          <w:szCs w:val="18"/>
        </w:rPr>
        <w:t xml:space="preserve">(2009). </w:t>
      </w:r>
      <w:r w:rsidRPr="005F4798">
        <w:rPr>
          <w:rStyle w:val="Emphasis"/>
          <w:rFonts w:ascii="Times New Roman" w:hAnsi="Times New Roman" w:cs="Times New Roman"/>
          <w:sz w:val="18"/>
          <w:szCs w:val="18"/>
        </w:rPr>
        <w:t>An agenda for a reformed cohesion policy: A place-based approach to meeting European Union challenges and expectations</w:t>
      </w:r>
      <w:r w:rsidRPr="005F4798">
        <w:rPr>
          <w:rFonts w:ascii="Times New Roman" w:hAnsi="Times New Roman" w:cs="Times New Roman"/>
          <w:sz w:val="18"/>
          <w:szCs w:val="18"/>
        </w:rPr>
        <w:t>. European Commission</w:t>
      </w:r>
      <w:r w:rsidR="00A33ED5" w:rsidRPr="005F4798">
        <w:rPr>
          <w:rFonts w:ascii="Times New Roman" w:hAnsi="Times New Roman" w:cs="Times New Roman"/>
          <w:sz w:val="18"/>
          <w:szCs w:val="18"/>
        </w:rPr>
        <w:t>.</w:t>
      </w:r>
    </w:p>
  </w:footnote>
  <w:footnote w:id="13">
    <w:p w14:paraId="02A46C9B" w14:textId="79546AB8" w:rsidR="00980797" w:rsidRPr="005F4798" w:rsidRDefault="00980797" w:rsidP="00E936C6">
      <w:pPr>
        <w:pStyle w:val="FootnoteText"/>
        <w:jc w:val="both"/>
        <w:rPr>
          <w:rFonts w:ascii="Times New Roman" w:hAnsi="Times New Roman" w:cs="Times New Roman"/>
          <w:color w:val="0000FF"/>
          <w:sz w:val="18"/>
          <w:szCs w:val="18"/>
          <w:u w:val="single"/>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Briedenhann, J., Wickens, E. (2004). Tourism routes as a tool for the economic development of rural areas—Vibrant hope or impossible dream? </w:t>
      </w:r>
      <w:r w:rsidRPr="005F4798">
        <w:rPr>
          <w:rStyle w:val="Emphasis"/>
          <w:rFonts w:ascii="Times New Roman" w:hAnsi="Times New Roman" w:cs="Times New Roman"/>
          <w:sz w:val="18"/>
          <w:szCs w:val="18"/>
        </w:rPr>
        <w:t>Tourism Management, 25</w:t>
      </w:r>
      <w:r w:rsidRPr="005F4798">
        <w:rPr>
          <w:rFonts w:ascii="Times New Roman" w:hAnsi="Times New Roman" w:cs="Times New Roman"/>
          <w:sz w:val="18"/>
          <w:szCs w:val="18"/>
        </w:rPr>
        <w:t xml:space="preserve">(1), 71–79. </w:t>
      </w:r>
      <w:r w:rsidR="00ED49C2" w:rsidRPr="005F4798">
        <w:rPr>
          <w:rFonts w:ascii="Times New Roman" w:hAnsi="Times New Roman" w:cs="Times New Roman"/>
          <w:sz w:val="18"/>
          <w:szCs w:val="18"/>
        </w:rPr>
        <w:t>&lt;</w:t>
      </w:r>
      <w:r w:rsidRPr="005F4798">
        <w:rPr>
          <w:rFonts w:ascii="Times New Roman" w:hAnsi="Times New Roman" w:cs="Times New Roman"/>
          <w:sz w:val="18"/>
          <w:szCs w:val="18"/>
        </w:rPr>
        <w:t>https://doi.org/10.1016/S0261-5177(03)00063-3</w:t>
      </w:r>
      <w:r w:rsidR="00ED49C2" w:rsidRPr="005F4798">
        <w:rPr>
          <w:rFonts w:ascii="Times New Roman" w:hAnsi="Times New Roman" w:cs="Times New Roman"/>
          <w:sz w:val="18"/>
          <w:szCs w:val="18"/>
        </w:rPr>
        <w:t>&gt;</w:t>
      </w:r>
      <w:r w:rsidR="005B6BEF" w:rsidRPr="005F4798">
        <w:rPr>
          <w:rFonts w:ascii="Times New Roman" w:hAnsi="Times New Roman" w:cs="Times New Roman"/>
          <w:sz w:val="18"/>
          <w:szCs w:val="18"/>
        </w:rPr>
        <w:t>;</w:t>
      </w:r>
      <w:r w:rsidR="00ED49C2" w:rsidRPr="005F4798">
        <w:rPr>
          <w:rStyle w:val="Hyperlink"/>
          <w:rFonts w:ascii="Times New Roman" w:hAnsi="Times New Roman" w:cs="Times New Roman"/>
          <w:sz w:val="18"/>
          <w:szCs w:val="18"/>
          <w:u w:val="none"/>
        </w:rPr>
        <w:t xml:space="preserve"> </w:t>
      </w:r>
      <w:r w:rsidRPr="005F4798">
        <w:rPr>
          <w:rFonts w:ascii="Times New Roman" w:hAnsi="Times New Roman" w:cs="Times New Roman"/>
          <w:sz w:val="18"/>
          <w:szCs w:val="18"/>
        </w:rPr>
        <w:t xml:space="preserve">Nepal, S. K., &amp; Saarinen, J. (2016). </w:t>
      </w:r>
      <w:r w:rsidRPr="005F4798">
        <w:rPr>
          <w:rStyle w:val="Emphasis"/>
          <w:rFonts w:ascii="Times New Roman" w:hAnsi="Times New Roman" w:cs="Times New Roman"/>
          <w:sz w:val="18"/>
          <w:szCs w:val="18"/>
        </w:rPr>
        <w:t>Political ecology and tourism</w:t>
      </w:r>
      <w:r w:rsidRPr="005F4798">
        <w:rPr>
          <w:rFonts w:ascii="Times New Roman" w:hAnsi="Times New Roman" w:cs="Times New Roman"/>
          <w:sz w:val="18"/>
          <w:szCs w:val="18"/>
        </w:rPr>
        <w:t xml:space="preserve">. Routledge. </w:t>
      </w:r>
    </w:p>
  </w:footnote>
  <w:footnote w:id="14">
    <w:p w14:paraId="690FFBB4" w14:textId="6F57A395" w:rsidR="00EE3D14" w:rsidRPr="005F4798" w:rsidRDefault="00EE3D14" w:rsidP="00EE3D14">
      <w:pPr>
        <w:pStyle w:val="FootnoteText"/>
        <w:jc w:val="both"/>
        <w:rPr>
          <w:rFonts w:ascii="Times New Roman" w:hAnsi="Times New Roman" w:cs="Times New Roman"/>
          <w:sz w:val="18"/>
          <w:szCs w:val="18"/>
        </w:rPr>
      </w:pPr>
      <w:r w:rsidRPr="005F4798">
        <w:rPr>
          <w:rStyle w:val="FootnoteReference"/>
          <w:rFonts w:ascii="Times New Roman" w:hAnsi="Times New Roman" w:cs="Times New Roman"/>
          <w:sz w:val="18"/>
          <w:szCs w:val="18"/>
        </w:rPr>
        <w:footnoteRef/>
      </w:r>
      <w:r w:rsidRPr="005F4798">
        <w:rPr>
          <w:rFonts w:ascii="Times New Roman" w:hAnsi="Times New Roman" w:cs="Times New Roman"/>
          <w:sz w:val="18"/>
          <w:szCs w:val="18"/>
        </w:rPr>
        <w:t xml:space="preserve"> Keshelashvili, G. (2024). The role of business in achieving sustainable development and need of changes in managerial attitude: The case of Georgia. Proceedings of the International Conference on Economics, Finance &amp; Business, Vienna, 2024, pp. 37–49. International Institute of Social and Economic Sciences. &lt;https://doi.org/10.20472/EFC.2024.020.003&gt;; Keshelashvili, G. (2025). Sustainable business practices in Georgian SMEs: Assessment, needs, and strategic perspectives. International Journal of Social Sciences, 14(1), 35–51. &lt;https://doi.org/10.52950/SS.2025.14.1.003&gt;; Kharaishvili, E., Talikadze, N. (2022). Competitiveness characteristics of agri-food products – What does the consumer choose? (Case of Georgia). Innovative Marketing, 18(1), 195–207. &lt;https://doi.org/10.21511/im.18(1).2022.16&gt;.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E7D"/>
    <w:multiLevelType w:val="hybridMultilevel"/>
    <w:tmpl w:val="EDD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73AE5"/>
    <w:multiLevelType w:val="multilevel"/>
    <w:tmpl w:val="2CE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9118D"/>
    <w:multiLevelType w:val="hybridMultilevel"/>
    <w:tmpl w:val="16CE22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5E3FA5"/>
    <w:multiLevelType w:val="multilevel"/>
    <w:tmpl w:val="B92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702BA"/>
    <w:multiLevelType w:val="multilevel"/>
    <w:tmpl w:val="9D7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F153E"/>
    <w:multiLevelType w:val="multilevel"/>
    <w:tmpl w:val="20D4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95E54"/>
    <w:multiLevelType w:val="multilevel"/>
    <w:tmpl w:val="07E8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A37B7"/>
    <w:multiLevelType w:val="multilevel"/>
    <w:tmpl w:val="382A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F2386"/>
    <w:multiLevelType w:val="multilevel"/>
    <w:tmpl w:val="240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86E1E"/>
    <w:multiLevelType w:val="multilevel"/>
    <w:tmpl w:val="A0A2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E5D22"/>
    <w:multiLevelType w:val="multilevel"/>
    <w:tmpl w:val="32A4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D6080"/>
    <w:multiLevelType w:val="multilevel"/>
    <w:tmpl w:val="D044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C29A4"/>
    <w:multiLevelType w:val="multilevel"/>
    <w:tmpl w:val="4230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D77B7"/>
    <w:multiLevelType w:val="multilevel"/>
    <w:tmpl w:val="E718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12EB3"/>
    <w:multiLevelType w:val="multilevel"/>
    <w:tmpl w:val="99C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800C7"/>
    <w:multiLevelType w:val="multilevel"/>
    <w:tmpl w:val="05E2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04166F"/>
    <w:multiLevelType w:val="hybridMultilevel"/>
    <w:tmpl w:val="9C46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E2163"/>
    <w:multiLevelType w:val="multilevel"/>
    <w:tmpl w:val="1942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E1A91"/>
    <w:multiLevelType w:val="multilevel"/>
    <w:tmpl w:val="CADA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7A6F2E"/>
    <w:multiLevelType w:val="multilevel"/>
    <w:tmpl w:val="F5A67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DC64D8"/>
    <w:multiLevelType w:val="multilevel"/>
    <w:tmpl w:val="F25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4"/>
  </w:num>
  <w:num w:numId="4">
    <w:abstractNumId w:val="18"/>
  </w:num>
  <w:num w:numId="5">
    <w:abstractNumId w:val="19"/>
  </w:num>
  <w:num w:numId="6">
    <w:abstractNumId w:val="12"/>
  </w:num>
  <w:num w:numId="7">
    <w:abstractNumId w:val="2"/>
  </w:num>
  <w:num w:numId="8">
    <w:abstractNumId w:val="0"/>
  </w:num>
  <w:num w:numId="9">
    <w:abstractNumId w:val="7"/>
  </w:num>
  <w:num w:numId="10">
    <w:abstractNumId w:val="3"/>
  </w:num>
  <w:num w:numId="11">
    <w:abstractNumId w:val="6"/>
  </w:num>
  <w:num w:numId="12">
    <w:abstractNumId w:val="9"/>
  </w:num>
  <w:num w:numId="13">
    <w:abstractNumId w:val="13"/>
  </w:num>
  <w:num w:numId="14">
    <w:abstractNumId w:val="8"/>
  </w:num>
  <w:num w:numId="15">
    <w:abstractNumId w:val="17"/>
  </w:num>
  <w:num w:numId="16">
    <w:abstractNumId w:val="11"/>
  </w:num>
  <w:num w:numId="17">
    <w:abstractNumId w:val="1"/>
  </w:num>
  <w:num w:numId="18">
    <w:abstractNumId w:val="5"/>
  </w:num>
  <w:num w:numId="19">
    <w:abstractNumId w:val="20"/>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B0D"/>
    <w:rsid w:val="0000732F"/>
    <w:rsid w:val="00032B0D"/>
    <w:rsid w:val="00061732"/>
    <w:rsid w:val="00073BC0"/>
    <w:rsid w:val="00084984"/>
    <w:rsid w:val="000861FE"/>
    <w:rsid w:val="000A1BAD"/>
    <w:rsid w:val="000A7C82"/>
    <w:rsid w:val="000B05AF"/>
    <w:rsid w:val="000C799E"/>
    <w:rsid w:val="000D11EC"/>
    <w:rsid w:val="000E36F4"/>
    <w:rsid w:val="000E6456"/>
    <w:rsid w:val="00151F26"/>
    <w:rsid w:val="001E2D6A"/>
    <w:rsid w:val="002653E3"/>
    <w:rsid w:val="002C0A49"/>
    <w:rsid w:val="002C6FDB"/>
    <w:rsid w:val="00303DD0"/>
    <w:rsid w:val="003136D6"/>
    <w:rsid w:val="00317A3B"/>
    <w:rsid w:val="0032133B"/>
    <w:rsid w:val="003667E5"/>
    <w:rsid w:val="0037305A"/>
    <w:rsid w:val="00380981"/>
    <w:rsid w:val="003E1ACC"/>
    <w:rsid w:val="003F4BAC"/>
    <w:rsid w:val="00407023"/>
    <w:rsid w:val="004518E0"/>
    <w:rsid w:val="00451B39"/>
    <w:rsid w:val="0048462A"/>
    <w:rsid w:val="005020DB"/>
    <w:rsid w:val="005449D6"/>
    <w:rsid w:val="0057297C"/>
    <w:rsid w:val="005752F3"/>
    <w:rsid w:val="005A423F"/>
    <w:rsid w:val="005B6BEF"/>
    <w:rsid w:val="005C60E0"/>
    <w:rsid w:val="005D62F4"/>
    <w:rsid w:val="005D6649"/>
    <w:rsid w:val="005F4798"/>
    <w:rsid w:val="00603BA6"/>
    <w:rsid w:val="0062749D"/>
    <w:rsid w:val="006275C2"/>
    <w:rsid w:val="00643B32"/>
    <w:rsid w:val="00676A0F"/>
    <w:rsid w:val="006810D3"/>
    <w:rsid w:val="006872EB"/>
    <w:rsid w:val="006D52B2"/>
    <w:rsid w:val="006F0781"/>
    <w:rsid w:val="0070015C"/>
    <w:rsid w:val="007402B8"/>
    <w:rsid w:val="00756A04"/>
    <w:rsid w:val="00765211"/>
    <w:rsid w:val="007963C7"/>
    <w:rsid w:val="007B34EE"/>
    <w:rsid w:val="007D3447"/>
    <w:rsid w:val="007F1DD6"/>
    <w:rsid w:val="007F3D57"/>
    <w:rsid w:val="0080341F"/>
    <w:rsid w:val="008366F5"/>
    <w:rsid w:val="008427FB"/>
    <w:rsid w:val="00855FB3"/>
    <w:rsid w:val="008739EB"/>
    <w:rsid w:val="00884F8C"/>
    <w:rsid w:val="00886B86"/>
    <w:rsid w:val="008C3E04"/>
    <w:rsid w:val="008E67D1"/>
    <w:rsid w:val="008F2AC7"/>
    <w:rsid w:val="0091559B"/>
    <w:rsid w:val="00946450"/>
    <w:rsid w:val="0096271C"/>
    <w:rsid w:val="00962B99"/>
    <w:rsid w:val="009700B1"/>
    <w:rsid w:val="00980797"/>
    <w:rsid w:val="009B37E8"/>
    <w:rsid w:val="009B4A14"/>
    <w:rsid w:val="009E391D"/>
    <w:rsid w:val="009F7C06"/>
    <w:rsid w:val="00A10772"/>
    <w:rsid w:val="00A33ED5"/>
    <w:rsid w:val="00A353C8"/>
    <w:rsid w:val="00A54508"/>
    <w:rsid w:val="00A825FD"/>
    <w:rsid w:val="00AB5AB7"/>
    <w:rsid w:val="00AD34B3"/>
    <w:rsid w:val="00AF0503"/>
    <w:rsid w:val="00B02F8A"/>
    <w:rsid w:val="00B54AF0"/>
    <w:rsid w:val="00B54B48"/>
    <w:rsid w:val="00B67914"/>
    <w:rsid w:val="00B84815"/>
    <w:rsid w:val="00BA4A29"/>
    <w:rsid w:val="00BF701B"/>
    <w:rsid w:val="00C906C1"/>
    <w:rsid w:val="00C96693"/>
    <w:rsid w:val="00CE5024"/>
    <w:rsid w:val="00D241CE"/>
    <w:rsid w:val="00D57798"/>
    <w:rsid w:val="00D93ABF"/>
    <w:rsid w:val="00DA6036"/>
    <w:rsid w:val="00DE5AC4"/>
    <w:rsid w:val="00E115B5"/>
    <w:rsid w:val="00E31B0C"/>
    <w:rsid w:val="00E32DED"/>
    <w:rsid w:val="00E66DB2"/>
    <w:rsid w:val="00E87FD0"/>
    <w:rsid w:val="00E936C6"/>
    <w:rsid w:val="00E97BA1"/>
    <w:rsid w:val="00EA4BD3"/>
    <w:rsid w:val="00EB0CA2"/>
    <w:rsid w:val="00EC3810"/>
    <w:rsid w:val="00EC7D2B"/>
    <w:rsid w:val="00ED49C2"/>
    <w:rsid w:val="00ED7F26"/>
    <w:rsid w:val="00EE3D14"/>
    <w:rsid w:val="00F12043"/>
    <w:rsid w:val="00F2277F"/>
    <w:rsid w:val="00F436D9"/>
    <w:rsid w:val="00F47271"/>
    <w:rsid w:val="00F557A3"/>
    <w:rsid w:val="00F64DDD"/>
    <w:rsid w:val="00F73817"/>
    <w:rsid w:val="00F84032"/>
    <w:rsid w:val="00FA0892"/>
    <w:rsid w:val="00FA341E"/>
    <w:rsid w:val="00FF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F76C"/>
  <w15:docId w15:val="{CFD4ED57-AE86-154B-A269-CFD52459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03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8403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F7C06"/>
    <w:pPr>
      <w:keepNext/>
      <w:keepLines/>
      <w:spacing w:before="200" w:after="0" w:line="276" w:lineRule="auto"/>
      <w:outlineLvl w:val="2"/>
    </w:pPr>
    <w:rPr>
      <w:rFonts w:asciiTheme="majorHAnsi" w:eastAsiaTheme="majorEastAsia" w:hAnsiTheme="majorHAnsi" w:cstheme="majorBidi"/>
      <w:b/>
      <w:bCs/>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0D"/>
  </w:style>
  <w:style w:type="paragraph" w:styleId="Footer">
    <w:name w:val="footer"/>
    <w:basedOn w:val="Normal"/>
    <w:link w:val="FooterChar"/>
    <w:uiPriority w:val="99"/>
    <w:unhideWhenUsed/>
    <w:rsid w:val="0003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0D"/>
  </w:style>
  <w:style w:type="paragraph" w:styleId="NormalWeb">
    <w:name w:val="Normal (Web)"/>
    <w:basedOn w:val="Normal"/>
    <w:uiPriority w:val="99"/>
    <w:unhideWhenUsed/>
    <w:rsid w:val="00DA6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036"/>
    <w:rPr>
      <w:b/>
      <w:bCs/>
    </w:rPr>
  </w:style>
  <w:style w:type="character" w:styleId="Hyperlink">
    <w:name w:val="Hyperlink"/>
    <w:basedOn w:val="DefaultParagraphFont"/>
    <w:uiPriority w:val="99"/>
    <w:unhideWhenUsed/>
    <w:rsid w:val="00DA6036"/>
    <w:rPr>
      <w:color w:val="0000FF"/>
      <w:u w:val="single"/>
    </w:rPr>
  </w:style>
  <w:style w:type="character" w:styleId="Emphasis">
    <w:name w:val="Emphasis"/>
    <w:basedOn w:val="DefaultParagraphFont"/>
    <w:uiPriority w:val="20"/>
    <w:qFormat/>
    <w:rsid w:val="005C60E0"/>
    <w:rPr>
      <w:i/>
      <w:iCs/>
    </w:rPr>
  </w:style>
  <w:style w:type="paragraph" w:styleId="ListParagraph">
    <w:name w:val="List Paragraph"/>
    <w:basedOn w:val="Normal"/>
    <w:uiPriority w:val="34"/>
    <w:qFormat/>
    <w:rsid w:val="005C60E0"/>
    <w:pPr>
      <w:ind w:left="720"/>
      <w:contextualSpacing/>
    </w:pPr>
  </w:style>
  <w:style w:type="character" w:customStyle="1" w:styleId="UnresolvedMention1">
    <w:name w:val="Unresolved Mention1"/>
    <w:basedOn w:val="DefaultParagraphFont"/>
    <w:uiPriority w:val="99"/>
    <w:semiHidden/>
    <w:unhideWhenUsed/>
    <w:rsid w:val="005C60E0"/>
    <w:rPr>
      <w:color w:val="605E5C"/>
      <w:shd w:val="clear" w:color="auto" w:fill="E1DFDD"/>
    </w:rPr>
  </w:style>
  <w:style w:type="paragraph" w:styleId="BalloonText">
    <w:name w:val="Balloon Text"/>
    <w:basedOn w:val="Normal"/>
    <w:link w:val="BalloonTextChar"/>
    <w:uiPriority w:val="99"/>
    <w:semiHidden/>
    <w:unhideWhenUsed/>
    <w:rsid w:val="00E3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DED"/>
    <w:rPr>
      <w:rFonts w:ascii="Tahoma" w:hAnsi="Tahoma" w:cs="Tahoma"/>
      <w:sz w:val="16"/>
      <w:szCs w:val="16"/>
    </w:rPr>
  </w:style>
  <w:style w:type="character" w:customStyle="1" w:styleId="Heading1Char">
    <w:name w:val="Heading 1 Char"/>
    <w:basedOn w:val="DefaultParagraphFont"/>
    <w:link w:val="Heading1"/>
    <w:uiPriority w:val="9"/>
    <w:rsid w:val="00F8403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8403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F7C06"/>
    <w:rPr>
      <w:rFonts w:asciiTheme="majorHAnsi" w:eastAsiaTheme="majorEastAsia" w:hAnsiTheme="majorHAnsi" w:cstheme="majorBidi"/>
      <w:b/>
      <w:bCs/>
      <w:color w:val="4472C4" w:themeColor="accent1"/>
      <w:sz w:val="24"/>
    </w:rPr>
  </w:style>
  <w:style w:type="table" w:styleId="TableGrid">
    <w:name w:val="Table Grid"/>
    <w:basedOn w:val="TableNormal"/>
    <w:uiPriority w:val="59"/>
    <w:rsid w:val="009F7C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3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41E"/>
    <w:rPr>
      <w:sz w:val="20"/>
      <w:szCs w:val="20"/>
    </w:rPr>
  </w:style>
  <w:style w:type="character" w:styleId="FootnoteReference">
    <w:name w:val="footnote reference"/>
    <w:basedOn w:val="DefaultParagraphFont"/>
    <w:uiPriority w:val="99"/>
    <w:semiHidden/>
    <w:unhideWhenUsed/>
    <w:rsid w:val="00FA341E"/>
    <w:rPr>
      <w:vertAlign w:val="superscript"/>
    </w:rPr>
  </w:style>
  <w:style w:type="character" w:styleId="UnresolvedMention">
    <w:name w:val="Unresolved Mention"/>
    <w:basedOn w:val="DefaultParagraphFont"/>
    <w:uiPriority w:val="99"/>
    <w:semiHidden/>
    <w:unhideWhenUsed/>
    <w:rsid w:val="00F5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39625">
      <w:bodyDiv w:val="1"/>
      <w:marLeft w:val="0"/>
      <w:marRight w:val="0"/>
      <w:marTop w:val="0"/>
      <w:marBottom w:val="0"/>
      <w:divBdr>
        <w:top w:val="none" w:sz="0" w:space="0" w:color="auto"/>
        <w:left w:val="none" w:sz="0" w:space="0" w:color="auto"/>
        <w:bottom w:val="none" w:sz="0" w:space="0" w:color="auto"/>
        <w:right w:val="none" w:sz="0" w:space="0" w:color="auto"/>
      </w:divBdr>
    </w:div>
    <w:div w:id="714238553">
      <w:bodyDiv w:val="1"/>
      <w:marLeft w:val="0"/>
      <w:marRight w:val="0"/>
      <w:marTop w:val="0"/>
      <w:marBottom w:val="0"/>
      <w:divBdr>
        <w:top w:val="none" w:sz="0" w:space="0" w:color="auto"/>
        <w:left w:val="none" w:sz="0" w:space="0" w:color="auto"/>
        <w:bottom w:val="none" w:sz="0" w:space="0" w:color="auto"/>
        <w:right w:val="none" w:sz="0" w:space="0" w:color="auto"/>
      </w:divBdr>
    </w:div>
    <w:div w:id="1061558737">
      <w:bodyDiv w:val="1"/>
      <w:marLeft w:val="0"/>
      <w:marRight w:val="0"/>
      <w:marTop w:val="0"/>
      <w:marBottom w:val="0"/>
      <w:divBdr>
        <w:top w:val="none" w:sz="0" w:space="0" w:color="auto"/>
        <w:left w:val="none" w:sz="0" w:space="0" w:color="auto"/>
        <w:bottom w:val="none" w:sz="0" w:space="0" w:color="auto"/>
        <w:right w:val="none" w:sz="0" w:space="0" w:color="auto"/>
      </w:divBdr>
    </w:div>
    <w:div w:id="1436094919">
      <w:bodyDiv w:val="1"/>
      <w:marLeft w:val="0"/>
      <w:marRight w:val="0"/>
      <w:marTop w:val="0"/>
      <w:marBottom w:val="0"/>
      <w:divBdr>
        <w:top w:val="none" w:sz="0" w:space="0" w:color="auto"/>
        <w:left w:val="none" w:sz="0" w:space="0" w:color="auto"/>
        <w:bottom w:val="none" w:sz="0" w:space="0" w:color="auto"/>
        <w:right w:val="none" w:sz="0" w:space="0" w:color="auto"/>
      </w:divBdr>
    </w:div>
    <w:div w:id="17595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i.jibut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511/im.18(1).2022.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945/gb.2021.11.013" TargetMode="External"/><Relationship Id="rId5" Type="http://schemas.openxmlformats.org/officeDocument/2006/relationships/webSettings" Target="webSettings.xml"/><Relationship Id="rId10" Type="http://schemas.openxmlformats.org/officeDocument/2006/relationships/hyperlink" Target="https://doi.org/10.15826/jtr.2019.5.2.063" TargetMode="External"/><Relationship Id="rId4" Type="http://schemas.openxmlformats.org/officeDocument/2006/relationships/settings" Target="settings.xml"/><Relationship Id="rId9" Type="http://schemas.openxmlformats.org/officeDocument/2006/relationships/hyperlink" Target="https://orcid.org/0000-0001-6420-579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5945/gb.2021.11.013" TargetMode="External"/><Relationship Id="rId1" Type="http://schemas.openxmlformats.org/officeDocument/2006/relationships/hyperlink" Target="https://doi.org/10.52950/SS.2025.14.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3D72-B0CB-442C-B8EF-95A292C8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8</Pages>
  <Words>4127</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Iluridze</dc:creator>
  <cp:lastModifiedBy>Ana Iluridze</cp:lastModifiedBy>
  <cp:revision>17</cp:revision>
  <dcterms:created xsi:type="dcterms:W3CDTF">2025-11-16T14:47:00Z</dcterms:created>
  <dcterms:modified xsi:type="dcterms:W3CDTF">2026-06-23T12:41:00Z</dcterms:modified>
</cp:coreProperties>
</file>